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05A" w:rsidRDefault="00CB3037" w:rsidP="00FC305A">
      <w:pPr>
        <w:jc w:val="center"/>
        <w:rPr>
          <w:b/>
          <w:bCs/>
          <w:sz w:val="28"/>
          <w:szCs w:val="28"/>
          <w:lang w:val="en-GB"/>
        </w:rPr>
      </w:pPr>
      <w:r w:rsidRPr="00CB3037">
        <w:rPr>
          <w:b/>
          <w:bCs/>
          <w:sz w:val="28"/>
          <w:szCs w:val="28"/>
          <w:lang w:val="en-GB"/>
        </w:rPr>
        <w:t xml:space="preserve">Statistical analyses of investment and </w:t>
      </w:r>
    </w:p>
    <w:p w:rsidR="00DC1C9B" w:rsidRPr="00FC305A" w:rsidRDefault="00CB3037" w:rsidP="00FC305A">
      <w:pPr>
        <w:jc w:val="center"/>
        <w:rPr>
          <w:b/>
          <w:bCs/>
          <w:sz w:val="28"/>
          <w:szCs w:val="28"/>
          <w:lang w:val="en-GB"/>
        </w:rPr>
      </w:pPr>
      <w:proofErr w:type="gramStart"/>
      <w:r w:rsidRPr="00CB3037">
        <w:rPr>
          <w:b/>
          <w:bCs/>
          <w:sz w:val="28"/>
          <w:szCs w:val="28"/>
          <w:lang w:val="en-GB"/>
        </w:rPr>
        <w:t>pension</w:t>
      </w:r>
      <w:proofErr w:type="gramEnd"/>
      <w:r w:rsidRPr="00CB3037">
        <w:rPr>
          <w:b/>
          <w:bCs/>
          <w:sz w:val="28"/>
          <w:szCs w:val="28"/>
          <w:lang w:val="en-GB"/>
        </w:rPr>
        <w:t xml:space="preserve"> fund</w:t>
      </w:r>
      <w:r w:rsidR="00781728" w:rsidRPr="00CB3037">
        <w:rPr>
          <w:b/>
          <w:bCs/>
          <w:sz w:val="28"/>
          <w:szCs w:val="28"/>
          <w:lang w:val="en-GB"/>
        </w:rPr>
        <w:t>’</w:t>
      </w:r>
      <w:r w:rsidRPr="00CB3037">
        <w:rPr>
          <w:b/>
          <w:bCs/>
          <w:sz w:val="28"/>
          <w:szCs w:val="28"/>
          <w:lang w:val="en-GB"/>
        </w:rPr>
        <w:t>s</w:t>
      </w:r>
      <w:r w:rsidR="00FC305A">
        <w:rPr>
          <w:b/>
          <w:bCs/>
          <w:sz w:val="28"/>
          <w:szCs w:val="28"/>
          <w:lang w:val="en-GB"/>
        </w:rPr>
        <w:t xml:space="preserve"> </w:t>
      </w:r>
      <w:r w:rsidRPr="00CB3037">
        <w:rPr>
          <w:b/>
          <w:bCs/>
          <w:sz w:val="28"/>
          <w:szCs w:val="28"/>
          <w:lang w:val="en-GB"/>
        </w:rPr>
        <w:t xml:space="preserve">performances from </w:t>
      </w:r>
      <w:r>
        <w:rPr>
          <w:b/>
          <w:bCs/>
          <w:sz w:val="28"/>
          <w:szCs w:val="28"/>
          <w:lang w:val="en-GB"/>
        </w:rPr>
        <w:t>R. Macedonia</w:t>
      </w:r>
    </w:p>
    <w:p w:rsidR="00C81192" w:rsidRPr="00DC1C9B" w:rsidRDefault="00C81192" w:rsidP="00C81192">
      <w:pPr>
        <w:rPr>
          <w:b/>
          <w:bCs/>
          <w:lang w:val="en-GB"/>
        </w:rPr>
      </w:pPr>
    </w:p>
    <w:p w:rsidR="00DC1C9B" w:rsidRPr="00DC1C9B" w:rsidRDefault="00CB3037" w:rsidP="00DC1C9B">
      <w:pPr>
        <w:pStyle w:val="Heading1"/>
      </w:pPr>
      <w:r w:rsidRPr="00CB3037">
        <w:t xml:space="preserve">Petar Taleski, PhD. </w:t>
      </w:r>
    </w:p>
    <w:p w:rsidR="00CB3037" w:rsidRDefault="00CB3037" w:rsidP="00DC1C9B">
      <w:pPr>
        <w:jc w:val="center"/>
        <w:rPr>
          <w:lang w:val="en-GB"/>
        </w:rPr>
      </w:pPr>
      <w:r w:rsidRPr="00CB3037">
        <w:rPr>
          <w:lang w:val="en-GB"/>
        </w:rPr>
        <w:t xml:space="preserve">NLB Nov </w:t>
      </w:r>
      <w:proofErr w:type="spellStart"/>
      <w:r w:rsidRPr="00CB3037">
        <w:rPr>
          <w:lang w:val="en-GB"/>
        </w:rPr>
        <w:t>penziski</w:t>
      </w:r>
      <w:proofErr w:type="spellEnd"/>
      <w:r w:rsidRPr="00CB3037">
        <w:rPr>
          <w:lang w:val="en-GB"/>
        </w:rPr>
        <w:t xml:space="preserve"> fond Skopje, Euro College – </w:t>
      </w:r>
      <w:proofErr w:type="spellStart"/>
      <w:r w:rsidRPr="00CB3037">
        <w:rPr>
          <w:lang w:val="en-GB"/>
        </w:rPr>
        <w:t>Kumanovo</w:t>
      </w:r>
      <w:proofErr w:type="spellEnd"/>
      <w:r w:rsidRPr="00CB3037">
        <w:rPr>
          <w:lang w:val="en-GB"/>
        </w:rPr>
        <w:t>,</w:t>
      </w:r>
    </w:p>
    <w:p w:rsidR="00DC1C9B" w:rsidRPr="00DC1C9B" w:rsidRDefault="00CB3037" w:rsidP="00DC1C9B">
      <w:pPr>
        <w:jc w:val="center"/>
        <w:rPr>
          <w:caps/>
          <w:lang w:val="en-GB"/>
        </w:rPr>
      </w:pPr>
      <w:r>
        <w:rPr>
          <w:lang w:val="en-GB"/>
        </w:rPr>
        <w:t>1000 Skopje, R. Macedonia</w:t>
      </w:r>
    </w:p>
    <w:p w:rsidR="00CE6038" w:rsidRDefault="0092656E">
      <w:pPr>
        <w:jc w:val="center"/>
      </w:pPr>
      <w:r w:rsidRPr="00DC1C9B">
        <w:t xml:space="preserve">E-mail: </w:t>
      </w:r>
      <w:hyperlink r:id="rId8" w:history="1">
        <w:r w:rsidR="00CB3037" w:rsidRPr="00F31FEE">
          <w:rPr>
            <w:rStyle w:val="Hyperlink"/>
          </w:rPr>
          <w:t>p.taleski@npf.com.mk</w:t>
        </w:r>
      </w:hyperlink>
    </w:p>
    <w:p w:rsidR="00CB3037" w:rsidRPr="00DC1C9B" w:rsidRDefault="00CB3037">
      <w:pPr>
        <w:jc w:val="center"/>
      </w:pPr>
    </w:p>
    <w:p w:rsidR="00CB3037" w:rsidRDefault="00CB3037" w:rsidP="00DC1C9B">
      <w:pPr>
        <w:jc w:val="center"/>
        <w:rPr>
          <w:b/>
          <w:bCs/>
          <w:lang w:val="en-GB"/>
        </w:rPr>
      </w:pPr>
      <w:proofErr w:type="gramStart"/>
      <w:r w:rsidRPr="00CB3037">
        <w:rPr>
          <w:b/>
          <w:bCs/>
          <w:lang w:val="en-GB"/>
        </w:rPr>
        <w:t>Vasko Bogdanovski M. Sc.</w:t>
      </w:r>
      <w:proofErr w:type="gramEnd"/>
      <w:r w:rsidRPr="00CB3037">
        <w:rPr>
          <w:rStyle w:val="FootnoteReference"/>
        </w:rPr>
        <w:t xml:space="preserve"> </w:t>
      </w:r>
      <w:r>
        <w:rPr>
          <w:rStyle w:val="FootnoteReference"/>
        </w:rPr>
        <w:footnoteReference w:id="1"/>
      </w:r>
    </w:p>
    <w:p w:rsidR="00CB3037" w:rsidRDefault="00CB3037" w:rsidP="00DC1C9B">
      <w:pPr>
        <w:jc w:val="center"/>
        <w:rPr>
          <w:lang w:val="en-GB"/>
        </w:rPr>
      </w:pPr>
      <w:r w:rsidRPr="00CB3037">
        <w:rPr>
          <w:lang w:val="en-GB"/>
        </w:rPr>
        <w:t xml:space="preserve">NLB Nov </w:t>
      </w:r>
      <w:proofErr w:type="spellStart"/>
      <w:r w:rsidRPr="00CB3037">
        <w:rPr>
          <w:lang w:val="en-GB"/>
        </w:rPr>
        <w:t>penziski</w:t>
      </w:r>
      <w:proofErr w:type="spellEnd"/>
      <w:r w:rsidRPr="00CB3037">
        <w:rPr>
          <w:lang w:val="en-GB"/>
        </w:rPr>
        <w:t xml:space="preserve"> fond Skopje,</w:t>
      </w:r>
    </w:p>
    <w:p w:rsidR="00CB3037" w:rsidRPr="00DC1C9B" w:rsidRDefault="00CB3037" w:rsidP="00CB3037">
      <w:pPr>
        <w:jc w:val="center"/>
        <w:rPr>
          <w:caps/>
          <w:lang w:val="en-GB"/>
        </w:rPr>
      </w:pPr>
      <w:r>
        <w:rPr>
          <w:lang w:val="en-GB"/>
        </w:rPr>
        <w:t>1000 Skopje, R. Macedonia</w:t>
      </w:r>
    </w:p>
    <w:p w:rsidR="00DC1C9B" w:rsidRDefault="0092656E">
      <w:pPr>
        <w:jc w:val="center"/>
      </w:pPr>
      <w:r w:rsidRPr="00DC1C9B">
        <w:t xml:space="preserve">E-mail: </w:t>
      </w:r>
      <w:hyperlink r:id="rId9" w:history="1">
        <w:r w:rsidR="00CB3037" w:rsidRPr="00F31FEE">
          <w:rPr>
            <w:rStyle w:val="Hyperlink"/>
          </w:rPr>
          <w:t>v.bogdanovski@npf.com.mk</w:t>
        </w:r>
      </w:hyperlink>
    </w:p>
    <w:p w:rsidR="00CB3037" w:rsidRDefault="00CB3037">
      <w:pPr>
        <w:jc w:val="center"/>
        <w:rPr>
          <w:b/>
          <w:bCs/>
          <w:lang w:val="en-GB"/>
        </w:rPr>
      </w:pPr>
    </w:p>
    <w:p w:rsidR="00D5211A" w:rsidRPr="00C81192" w:rsidRDefault="00D5211A" w:rsidP="00D5211A">
      <w:pPr>
        <w:rPr>
          <w:b/>
          <w:bCs/>
          <w:lang w:val="en-GB"/>
        </w:rPr>
      </w:pPr>
      <w:r w:rsidRPr="00C81192">
        <w:rPr>
          <w:b/>
          <w:bCs/>
          <w:lang w:val="en-GB"/>
        </w:rPr>
        <w:t>Abstract</w:t>
      </w:r>
    </w:p>
    <w:p w:rsidR="00CB3037" w:rsidRPr="00CB3037" w:rsidRDefault="00CB3037" w:rsidP="00CB3037">
      <w:pPr>
        <w:spacing w:before="120"/>
        <w:jc w:val="both"/>
        <w:rPr>
          <w:sz w:val="22"/>
          <w:szCs w:val="22"/>
        </w:rPr>
      </w:pPr>
      <w:r w:rsidRPr="00CB3037">
        <w:rPr>
          <w:sz w:val="22"/>
          <w:szCs w:val="22"/>
        </w:rPr>
        <w:t>The foundation of the post-modern portfolio theory is creating a portfolio based on the desired target return. This specifically applies on the operations of the investment and pension funds in order to provide a rate of return that meets the payment requirements from the funds’ investors. The preferred targeted return is a return necessary for achieving the desired goal of the investment or pension fund. It is the primary benchmark used to measure performances, dynamic monitoring and evaluation of the risk – return ratio on investment of funds.</w:t>
      </w:r>
    </w:p>
    <w:p w:rsidR="00CB3037" w:rsidRPr="00CB3037" w:rsidRDefault="00CB3037" w:rsidP="00CB3037">
      <w:pPr>
        <w:spacing w:before="120"/>
        <w:jc w:val="both"/>
        <w:rPr>
          <w:sz w:val="22"/>
          <w:szCs w:val="22"/>
        </w:rPr>
      </w:pPr>
      <w:r w:rsidRPr="00CB3037">
        <w:rPr>
          <w:sz w:val="22"/>
          <w:szCs w:val="22"/>
        </w:rPr>
        <w:t xml:space="preserve">The analysis applied in this paper is conducted based on monthly returns of the investment and pension funds from </w:t>
      </w:r>
      <w:r>
        <w:rPr>
          <w:sz w:val="22"/>
          <w:szCs w:val="22"/>
        </w:rPr>
        <w:t>R. Macedonia</w:t>
      </w:r>
      <w:r w:rsidRPr="00CB3037">
        <w:rPr>
          <w:sz w:val="22"/>
          <w:szCs w:val="22"/>
        </w:rPr>
        <w:t xml:space="preserve">. It uses the basic, but still highly informative statistical characteristic moments like </w:t>
      </w:r>
      <w:proofErr w:type="spellStart"/>
      <w:r w:rsidRPr="00CB3037">
        <w:rPr>
          <w:sz w:val="22"/>
          <w:szCs w:val="22"/>
        </w:rPr>
        <w:t>Skewness</w:t>
      </w:r>
      <w:proofErr w:type="spellEnd"/>
      <w:r w:rsidRPr="00CB3037">
        <w:rPr>
          <w:sz w:val="22"/>
          <w:szCs w:val="22"/>
        </w:rPr>
        <w:t xml:space="preserve">, Kurtosis, </w:t>
      </w:r>
      <w:proofErr w:type="spellStart"/>
      <w:r w:rsidRPr="00CB3037">
        <w:rPr>
          <w:sz w:val="22"/>
          <w:szCs w:val="22"/>
        </w:rPr>
        <w:t>Jarque</w:t>
      </w:r>
      <w:proofErr w:type="spellEnd"/>
      <w:r w:rsidRPr="00CB3037">
        <w:rPr>
          <w:sz w:val="22"/>
          <w:szCs w:val="22"/>
        </w:rPr>
        <w:t xml:space="preserve"> – </w:t>
      </w:r>
      <w:proofErr w:type="spellStart"/>
      <w:r w:rsidRPr="00CB3037">
        <w:rPr>
          <w:sz w:val="22"/>
          <w:szCs w:val="22"/>
        </w:rPr>
        <w:t>Bera</w:t>
      </w:r>
      <w:proofErr w:type="spellEnd"/>
      <w:r w:rsidRPr="00CB3037">
        <w:rPr>
          <w:sz w:val="22"/>
          <w:szCs w:val="22"/>
        </w:rPr>
        <w:t xml:space="preserve">, and </w:t>
      </w:r>
      <w:proofErr w:type="spellStart"/>
      <w:r w:rsidRPr="00CB3037">
        <w:rPr>
          <w:sz w:val="22"/>
          <w:szCs w:val="22"/>
        </w:rPr>
        <w:t>Chebyishev’s</w:t>
      </w:r>
      <w:proofErr w:type="spellEnd"/>
      <w:r w:rsidRPr="00CB3037">
        <w:rPr>
          <w:sz w:val="22"/>
          <w:szCs w:val="22"/>
        </w:rPr>
        <w:t xml:space="preserve"> Inequality. </w:t>
      </w:r>
    </w:p>
    <w:p w:rsidR="00D5211A" w:rsidRPr="00C31EBA" w:rsidRDefault="00CB3037" w:rsidP="00CB3037">
      <w:pPr>
        <w:spacing w:before="120"/>
        <w:jc w:val="both"/>
        <w:rPr>
          <w:color w:val="FF0000"/>
          <w:sz w:val="22"/>
          <w:szCs w:val="22"/>
        </w:rPr>
      </w:pPr>
      <w:r w:rsidRPr="00CB3037">
        <w:rPr>
          <w:sz w:val="22"/>
          <w:szCs w:val="22"/>
        </w:rPr>
        <w:t xml:space="preserve">The objective of this study is trough analyses that use the above and other specific statistical techniques (Sharpe, </w:t>
      </w:r>
      <w:proofErr w:type="spellStart"/>
      <w:r w:rsidRPr="00CB3037">
        <w:rPr>
          <w:sz w:val="22"/>
          <w:szCs w:val="22"/>
        </w:rPr>
        <w:t>Sortino</w:t>
      </w:r>
      <w:proofErr w:type="spellEnd"/>
      <w:r w:rsidRPr="00CB3037">
        <w:rPr>
          <w:sz w:val="22"/>
          <w:szCs w:val="22"/>
        </w:rPr>
        <w:t xml:space="preserve">, Omega, Upside Potential, Calmar, </w:t>
      </w:r>
      <w:proofErr w:type="gramStart"/>
      <w:r w:rsidRPr="00CB3037">
        <w:rPr>
          <w:sz w:val="22"/>
          <w:szCs w:val="22"/>
        </w:rPr>
        <w:t>Sterling</w:t>
      </w:r>
      <w:proofErr w:type="gramEnd"/>
      <w:r w:rsidRPr="00CB3037">
        <w:rPr>
          <w:sz w:val="22"/>
          <w:szCs w:val="22"/>
        </w:rPr>
        <w:t xml:space="preserve">) to draw relevant conclusions regarding the risks and the characteristic moments in the performances of the investment and pension funds from the </w:t>
      </w:r>
      <w:r>
        <w:rPr>
          <w:sz w:val="22"/>
          <w:szCs w:val="22"/>
        </w:rPr>
        <w:t>country</w:t>
      </w:r>
      <w:r w:rsidRPr="00CB3037">
        <w:rPr>
          <w:sz w:val="22"/>
          <w:szCs w:val="22"/>
        </w:rPr>
        <w:t xml:space="preserve">. </w:t>
      </w:r>
    </w:p>
    <w:p w:rsidR="00D5211A" w:rsidRPr="00D5211A" w:rsidRDefault="00D5211A" w:rsidP="00C956C2">
      <w:pPr>
        <w:jc w:val="center"/>
        <w:rPr>
          <w:b/>
          <w:bCs/>
        </w:rPr>
      </w:pPr>
    </w:p>
    <w:p w:rsidR="00DC1C9B" w:rsidRDefault="00DC1C9B" w:rsidP="00C956C2">
      <w:pPr>
        <w:jc w:val="both"/>
        <w:rPr>
          <w:i/>
          <w:iCs/>
          <w:lang w:val="en-GB"/>
        </w:rPr>
      </w:pPr>
      <w:r w:rsidRPr="00DC1C9B">
        <w:rPr>
          <w:b/>
          <w:bCs/>
          <w:lang w:val="en-GB"/>
        </w:rPr>
        <w:t xml:space="preserve">Keywords: </w:t>
      </w:r>
      <w:r w:rsidR="00CB3037" w:rsidRPr="00CB3037">
        <w:rPr>
          <w:i/>
          <w:iCs/>
          <w:lang w:val="en-GB"/>
        </w:rPr>
        <w:t>desired target return, downside deviation, risks, investments.</w:t>
      </w:r>
    </w:p>
    <w:p w:rsidR="00DC1C9B" w:rsidRDefault="00DC1C9B">
      <w:pPr>
        <w:jc w:val="both"/>
        <w:rPr>
          <w:i/>
          <w:iCs/>
          <w:lang w:val="en-GB"/>
        </w:rPr>
      </w:pPr>
    </w:p>
    <w:p w:rsidR="004C63C5" w:rsidRDefault="004C63C5">
      <w:pPr>
        <w:jc w:val="both"/>
        <w:rPr>
          <w:lang w:val="en-GB"/>
        </w:rPr>
      </w:pPr>
    </w:p>
    <w:p w:rsidR="00D65E8F" w:rsidRPr="006D6858" w:rsidRDefault="00CE6038">
      <w:pPr>
        <w:jc w:val="both"/>
        <w:rPr>
          <w:b/>
          <w:bCs/>
          <w:sz w:val="28"/>
          <w:szCs w:val="28"/>
          <w:lang w:val="en-GB"/>
        </w:rPr>
      </w:pPr>
      <w:r w:rsidRPr="006D6858">
        <w:rPr>
          <w:b/>
          <w:bCs/>
          <w:sz w:val="28"/>
          <w:szCs w:val="28"/>
          <w:lang w:val="en-GB"/>
        </w:rPr>
        <w:t>1.</w:t>
      </w:r>
      <w:r w:rsidR="006D6858">
        <w:rPr>
          <w:b/>
          <w:bCs/>
          <w:sz w:val="28"/>
          <w:szCs w:val="28"/>
          <w:lang w:val="en-GB"/>
        </w:rPr>
        <w:t xml:space="preserve"> </w:t>
      </w:r>
      <w:r w:rsidR="00C956C2">
        <w:rPr>
          <w:b/>
          <w:bCs/>
          <w:sz w:val="28"/>
          <w:szCs w:val="28"/>
          <w:lang w:val="en-GB"/>
        </w:rPr>
        <w:t>Introduction</w:t>
      </w:r>
    </w:p>
    <w:p w:rsidR="00D65E8F" w:rsidRDefault="00D65E8F">
      <w:pPr>
        <w:jc w:val="both"/>
        <w:rPr>
          <w:b/>
          <w:bCs/>
          <w:lang w:val="en-GB"/>
        </w:rPr>
      </w:pPr>
    </w:p>
    <w:p w:rsidR="00BC44D5" w:rsidRDefault="006F12B8" w:rsidP="0002721A">
      <w:pPr>
        <w:autoSpaceDE w:val="0"/>
        <w:autoSpaceDN w:val="0"/>
        <w:adjustRightInd w:val="0"/>
        <w:jc w:val="both"/>
        <w:rPr>
          <w:lang w:val="hr-HR" w:eastAsia="hr-HR"/>
        </w:rPr>
      </w:pPr>
      <w:r w:rsidRPr="006F12B8">
        <w:rPr>
          <w:lang w:val="hr-HR" w:eastAsia="hr-HR"/>
        </w:rPr>
        <w:t>Statistical analyses of the investment and pension funds can serve to review the performances of the funds. Also the statistical analysis can present a potential span of future incomes from the investment of funds' assets. In order to prepare this analysis, we use data for the incomes of investment and pension funds  trough the value of their accounting units per month.</w:t>
      </w:r>
      <w:r w:rsidR="00BC44D5">
        <w:rPr>
          <w:lang w:val="hr-HR" w:eastAsia="hr-HR"/>
        </w:rPr>
        <w:t xml:space="preserve"> </w:t>
      </w:r>
    </w:p>
    <w:p w:rsidR="00BC44D5" w:rsidRPr="00BC44D5" w:rsidRDefault="00BC44D5" w:rsidP="0002721A">
      <w:pPr>
        <w:autoSpaceDE w:val="0"/>
        <w:autoSpaceDN w:val="0"/>
        <w:adjustRightInd w:val="0"/>
        <w:jc w:val="both"/>
        <w:rPr>
          <w:lang w:val="hr-HR" w:eastAsia="hr-HR"/>
        </w:rPr>
      </w:pPr>
      <w:r w:rsidRPr="00BC44D5">
        <w:rPr>
          <w:lang w:val="hr-HR" w:eastAsia="hr-HR"/>
        </w:rPr>
        <w:t>This analysis should discover ways to use statistics when analyzing the success rate of investment and pension funds, possible interpretations of certain statistical measures related to risk analysis, and appropriate presentation of certain characteristic points identified during the statistical analysis.</w:t>
      </w:r>
    </w:p>
    <w:p w:rsidR="00287DB2" w:rsidRDefault="006F12B8" w:rsidP="0002721A">
      <w:pPr>
        <w:autoSpaceDE w:val="0"/>
        <w:autoSpaceDN w:val="0"/>
        <w:adjustRightInd w:val="0"/>
        <w:jc w:val="both"/>
        <w:rPr>
          <w:szCs w:val="22"/>
          <w:lang w:val="hr-HR" w:eastAsia="hr-HR"/>
        </w:rPr>
      </w:pPr>
      <w:r w:rsidRPr="006F12B8">
        <w:rPr>
          <w:szCs w:val="22"/>
          <w:lang w:val="hr-HR" w:eastAsia="hr-HR"/>
        </w:rPr>
        <w:t xml:space="preserve">Through statistical analysis of data from a three-year series of monthly returns of the accounting unit at </w:t>
      </w:r>
      <w:r w:rsidRPr="004C63C5">
        <w:rPr>
          <w:b/>
          <w:szCs w:val="22"/>
          <w:lang w:val="hr-HR" w:eastAsia="hr-HR"/>
        </w:rPr>
        <w:t>Ilirika Global</w:t>
      </w:r>
      <w:r w:rsidRPr="006F12B8">
        <w:rPr>
          <w:szCs w:val="22"/>
          <w:lang w:val="hr-HR" w:eastAsia="hr-HR"/>
        </w:rPr>
        <w:t>, there were 17 negative returns (with an average of -3.45%</w:t>
      </w:r>
      <w:r w:rsidR="003E535B">
        <w:rPr>
          <w:szCs w:val="22"/>
          <w:lang w:val="hr-HR" w:eastAsia="hr-HR"/>
        </w:rPr>
        <w:t>)</w:t>
      </w:r>
      <w:r w:rsidRPr="006F12B8">
        <w:rPr>
          <w:szCs w:val="22"/>
          <w:lang w:val="hr-HR" w:eastAsia="hr-HR"/>
        </w:rPr>
        <w:t>, and 19 positive monthly return</w:t>
      </w:r>
      <w:r w:rsidR="004C63C5">
        <w:rPr>
          <w:szCs w:val="22"/>
          <w:lang w:val="hr-HR" w:eastAsia="hr-HR"/>
        </w:rPr>
        <w:t xml:space="preserve">s (with an average of </w:t>
      </w:r>
      <w:r w:rsidR="00EE358E">
        <w:rPr>
          <w:szCs w:val="22"/>
          <w:lang w:val="hr-HR" w:eastAsia="hr-HR"/>
        </w:rPr>
        <w:t>1</w:t>
      </w:r>
      <w:r w:rsidR="004C63C5">
        <w:rPr>
          <w:szCs w:val="22"/>
          <w:lang w:val="hr-HR" w:eastAsia="hr-HR"/>
        </w:rPr>
        <w:t>.</w:t>
      </w:r>
      <w:r w:rsidR="00EE358E">
        <w:rPr>
          <w:szCs w:val="22"/>
          <w:lang w:val="hr-HR" w:eastAsia="hr-HR"/>
        </w:rPr>
        <w:t>95</w:t>
      </w:r>
      <w:r w:rsidR="004C63C5">
        <w:rPr>
          <w:szCs w:val="22"/>
          <w:lang w:val="hr-HR" w:eastAsia="hr-HR"/>
        </w:rPr>
        <w:t xml:space="preserve">%). </w:t>
      </w:r>
    </w:p>
    <w:p w:rsidR="00FC305A" w:rsidRPr="00FC305A" w:rsidRDefault="00B55A13" w:rsidP="0002721A">
      <w:pPr>
        <w:autoSpaceDE w:val="0"/>
        <w:autoSpaceDN w:val="0"/>
        <w:adjustRightInd w:val="0"/>
        <w:jc w:val="both"/>
        <w:rPr>
          <w:b/>
          <w:szCs w:val="22"/>
          <w:lang w:val="mk-MK" w:eastAsia="hr-HR"/>
        </w:rPr>
      </w:pPr>
      <w:r>
        <w:rPr>
          <w:szCs w:val="22"/>
          <w:lang w:val="hr-HR" w:eastAsia="hr-HR"/>
        </w:rPr>
        <w:t xml:space="preserve">Acording to </w:t>
      </w:r>
      <w:r w:rsidR="00FC305A" w:rsidRPr="006F12B8">
        <w:rPr>
          <w:szCs w:val="22"/>
          <w:lang w:val="hr-HR" w:eastAsia="hr-HR"/>
        </w:rPr>
        <w:t xml:space="preserve">statistical analysis of data from a three-year series of monthly returns of the accounting unit at </w:t>
      </w:r>
      <w:r w:rsidR="00FC305A" w:rsidRPr="00FC305A">
        <w:rPr>
          <w:b/>
          <w:szCs w:val="22"/>
          <w:lang w:val="mk-MK" w:eastAsia="hr-HR"/>
        </w:rPr>
        <w:t>Ilirika Southeast Europe</w:t>
      </w:r>
      <w:r w:rsidR="00FC305A" w:rsidRPr="006F12B8">
        <w:rPr>
          <w:szCs w:val="22"/>
          <w:lang w:val="hr-HR" w:eastAsia="hr-HR"/>
        </w:rPr>
        <w:t xml:space="preserve">, there were </w:t>
      </w:r>
      <w:r w:rsidR="00205258">
        <w:rPr>
          <w:szCs w:val="22"/>
          <w:lang w:val="hr-HR" w:eastAsia="hr-HR"/>
        </w:rPr>
        <w:t>23</w:t>
      </w:r>
      <w:r w:rsidR="00FC305A" w:rsidRPr="006F12B8">
        <w:rPr>
          <w:szCs w:val="22"/>
          <w:lang w:val="hr-HR" w:eastAsia="hr-HR"/>
        </w:rPr>
        <w:t xml:space="preserve"> negative returns (with an average of </w:t>
      </w:r>
      <w:r w:rsidR="00205258" w:rsidRPr="00205258">
        <w:rPr>
          <w:szCs w:val="22"/>
          <w:lang w:val="hr-HR" w:eastAsia="hr-HR"/>
        </w:rPr>
        <w:t xml:space="preserve">-3,08% </w:t>
      </w:r>
      <w:r w:rsidR="00FC305A" w:rsidRPr="006F12B8">
        <w:rPr>
          <w:szCs w:val="22"/>
          <w:lang w:val="hr-HR" w:eastAsia="hr-HR"/>
        </w:rPr>
        <w:t>%</w:t>
      </w:r>
      <w:r w:rsidR="003E535B">
        <w:rPr>
          <w:szCs w:val="22"/>
          <w:lang w:val="hr-HR" w:eastAsia="hr-HR"/>
        </w:rPr>
        <w:t>)</w:t>
      </w:r>
      <w:r w:rsidR="00FC305A" w:rsidRPr="006F12B8">
        <w:rPr>
          <w:szCs w:val="22"/>
          <w:lang w:val="hr-HR" w:eastAsia="hr-HR"/>
        </w:rPr>
        <w:t>, and 1</w:t>
      </w:r>
      <w:r w:rsidR="00EE358E">
        <w:rPr>
          <w:szCs w:val="22"/>
          <w:lang w:val="hr-HR" w:eastAsia="hr-HR"/>
        </w:rPr>
        <w:t>3</w:t>
      </w:r>
      <w:r w:rsidR="00FC305A" w:rsidRPr="006F12B8">
        <w:rPr>
          <w:szCs w:val="22"/>
          <w:lang w:val="hr-HR" w:eastAsia="hr-HR"/>
        </w:rPr>
        <w:t xml:space="preserve"> positive monthly return</w:t>
      </w:r>
      <w:r w:rsidR="00FC305A">
        <w:rPr>
          <w:szCs w:val="22"/>
          <w:lang w:val="hr-HR" w:eastAsia="hr-HR"/>
        </w:rPr>
        <w:t xml:space="preserve">s (with an average of </w:t>
      </w:r>
      <w:r w:rsidR="00EE358E">
        <w:rPr>
          <w:szCs w:val="22"/>
          <w:lang w:val="hr-HR" w:eastAsia="hr-HR"/>
        </w:rPr>
        <w:t>2</w:t>
      </w:r>
      <w:r w:rsidR="00FC305A">
        <w:rPr>
          <w:szCs w:val="22"/>
          <w:lang w:val="hr-HR" w:eastAsia="hr-HR"/>
        </w:rPr>
        <w:t>.</w:t>
      </w:r>
      <w:r w:rsidR="00EE358E">
        <w:rPr>
          <w:szCs w:val="22"/>
          <w:lang w:val="hr-HR" w:eastAsia="hr-HR"/>
        </w:rPr>
        <w:t>3</w:t>
      </w:r>
      <w:r w:rsidR="00FC305A">
        <w:rPr>
          <w:szCs w:val="22"/>
          <w:lang w:val="hr-HR" w:eastAsia="hr-HR"/>
        </w:rPr>
        <w:t xml:space="preserve">0%). </w:t>
      </w:r>
    </w:p>
    <w:p w:rsidR="00FC305A" w:rsidRDefault="00B55A13" w:rsidP="0002721A">
      <w:pPr>
        <w:autoSpaceDE w:val="0"/>
        <w:autoSpaceDN w:val="0"/>
        <w:adjustRightInd w:val="0"/>
        <w:jc w:val="both"/>
        <w:rPr>
          <w:szCs w:val="22"/>
          <w:lang w:val="hr-HR" w:eastAsia="hr-HR"/>
        </w:rPr>
      </w:pPr>
      <w:r>
        <w:rPr>
          <w:szCs w:val="22"/>
          <w:lang w:val="hr-HR" w:eastAsia="hr-HR"/>
        </w:rPr>
        <w:lastRenderedPageBreak/>
        <w:t>Based on the performed</w:t>
      </w:r>
      <w:r w:rsidR="00FC305A" w:rsidRPr="006F12B8">
        <w:rPr>
          <w:szCs w:val="22"/>
          <w:lang w:val="hr-HR" w:eastAsia="hr-HR"/>
        </w:rPr>
        <w:t xml:space="preserve"> statistical analysis of data from a three-year series of monthly returns of the accounting unit at </w:t>
      </w:r>
      <w:r w:rsidR="00FC305A" w:rsidRPr="00FC305A">
        <w:rPr>
          <w:b/>
          <w:szCs w:val="22"/>
          <w:lang w:val="hr-HR" w:eastAsia="hr-HR"/>
        </w:rPr>
        <w:t>Innovo Status Akcii</w:t>
      </w:r>
      <w:r w:rsidR="00FC305A" w:rsidRPr="006F12B8">
        <w:rPr>
          <w:szCs w:val="22"/>
          <w:lang w:val="hr-HR" w:eastAsia="hr-HR"/>
        </w:rPr>
        <w:t xml:space="preserve">, there were </w:t>
      </w:r>
      <w:r w:rsidR="00205258">
        <w:rPr>
          <w:szCs w:val="22"/>
          <w:lang w:val="hr-HR" w:eastAsia="hr-HR"/>
        </w:rPr>
        <w:t>23</w:t>
      </w:r>
      <w:r w:rsidR="00FC305A" w:rsidRPr="006F12B8">
        <w:rPr>
          <w:szCs w:val="22"/>
          <w:lang w:val="hr-HR" w:eastAsia="hr-HR"/>
        </w:rPr>
        <w:t xml:space="preserve"> negative returns (with an average of </w:t>
      </w:r>
      <w:r w:rsidR="00205258" w:rsidRPr="00205258">
        <w:rPr>
          <w:szCs w:val="22"/>
          <w:lang w:val="hr-HR" w:eastAsia="hr-HR"/>
        </w:rPr>
        <w:t>-2,23%</w:t>
      </w:r>
      <w:r w:rsidR="003E535B">
        <w:rPr>
          <w:szCs w:val="22"/>
          <w:lang w:val="hr-HR" w:eastAsia="hr-HR"/>
        </w:rPr>
        <w:t>)</w:t>
      </w:r>
      <w:r w:rsidR="00205258" w:rsidRPr="00205258">
        <w:rPr>
          <w:szCs w:val="22"/>
          <w:lang w:val="hr-HR" w:eastAsia="hr-HR"/>
        </w:rPr>
        <w:t xml:space="preserve"> </w:t>
      </w:r>
      <w:r w:rsidR="00FC305A" w:rsidRPr="006F12B8">
        <w:rPr>
          <w:szCs w:val="22"/>
          <w:lang w:val="hr-HR" w:eastAsia="hr-HR"/>
        </w:rPr>
        <w:t>and 1</w:t>
      </w:r>
      <w:r w:rsidR="00EE358E">
        <w:rPr>
          <w:szCs w:val="22"/>
          <w:lang w:val="hr-HR" w:eastAsia="hr-HR"/>
        </w:rPr>
        <w:t>3</w:t>
      </w:r>
      <w:r w:rsidR="00FC305A" w:rsidRPr="006F12B8">
        <w:rPr>
          <w:szCs w:val="22"/>
          <w:lang w:val="hr-HR" w:eastAsia="hr-HR"/>
        </w:rPr>
        <w:t xml:space="preserve"> positive monthly return</w:t>
      </w:r>
      <w:r w:rsidR="00FC305A">
        <w:rPr>
          <w:szCs w:val="22"/>
          <w:lang w:val="hr-HR" w:eastAsia="hr-HR"/>
        </w:rPr>
        <w:t xml:space="preserve">s (with an average of </w:t>
      </w:r>
      <w:r w:rsidR="00EE358E">
        <w:rPr>
          <w:szCs w:val="22"/>
          <w:lang w:val="hr-HR" w:eastAsia="hr-HR"/>
        </w:rPr>
        <w:t>2</w:t>
      </w:r>
      <w:r w:rsidR="00FC305A">
        <w:rPr>
          <w:szCs w:val="22"/>
          <w:lang w:val="hr-HR" w:eastAsia="hr-HR"/>
        </w:rPr>
        <w:t>.</w:t>
      </w:r>
      <w:r w:rsidR="00EE358E">
        <w:rPr>
          <w:szCs w:val="22"/>
          <w:lang w:val="hr-HR" w:eastAsia="hr-HR"/>
        </w:rPr>
        <w:t>07</w:t>
      </w:r>
      <w:r w:rsidR="00FC305A">
        <w:rPr>
          <w:szCs w:val="22"/>
          <w:lang w:val="hr-HR" w:eastAsia="hr-HR"/>
        </w:rPr>
        <w:t xml:space="preserve">%). </w:t>
      </w:r>
    </w:p>
    <w:p w:rsidR="00B55A13" w:rsidRDefault="00B55A13" w:rsidP="0002721A">
      <w:pPr>
        <w:autoSpaceDE w:val="0"/>
        <w:autoSpaceDN w:val="0"/>
        <w:adjustRightInd w:val="0"/>
        <w:jc w:val="both"/>
        <w:rPr>
          <w:szCs w:val="22"/>
          <w:lang w:val="hr-HR" w:eastAsia="hr-HR"/>
        </w:rPr>
      </w:pPr>
      <w:r>
        <w:rPr>
          <w:szCs w:val="22"/>
          <w:lang w:val="hr-HR" w:eastAsia="hr-HR"/>
        </w:rPr>
        <w:t>As the</w:t>
      </w:r>
      <w:r w:rsidR="00FC305A" w:rsidRPr="006F12B8">
        <w:rPr>
          <w:szCs w:val="22"/>
          <w:lang w:val="hr-HR" w:eastAsia="hr-HR"/>
        </w:rPr>
        <w:t xml:space="preserve"> statistical analysis </w:t>
      </w:r>
      <w:r>
        <w:rPr>
          <w:szCs w:val="22"/>
          <w:lang w:val="hr-HR" w:eastAsia="hr-HR"/>
        </w:rPr>
        <w:t xml:space="preserve">shows there </w:t>
      </w:r>
      <w:r w:rsidRPr="006F12B8">
        <w:rPr>
          <w:szCs w:val="22"/>
          <w:lang w:val="hr-HR" w:eastAsia="hr-HR"/>
        </w:rPr>
        <w:t xml:space="preserve">were </w:t>
      </w:r>
      <w:r w:rsidR="00205258">
        <w:rPr>
          <w:szCs w:val="22"/>
          <w:lang w:val="hr-HR" w:eastAsia="hr-HR"/>
        </w:rPr>
        <w:t>12</w:t>
      </w:r>
      <w:r w:rsidRPr="006F12B8">
        <w:rPr>
          <w:szCs w:val="22"/>
          <w:lang w:val="hr-HR" w:eastAsia="hr-HR"/>
        </w:rPr>
        <w:t xml:space="preserve"> negative returns (with an average of </w:t>
      </w:r>
      <w:r w:rsidR="00205258" w:rsidRPr="00205258">
        <w:rPr>
          <w:szCs w:val="22"/>
          <w:lang w:val="hr-HR" w:eastAsia="hr-HR"/>
        </w:rPr>
        <w:t>-0,65%</w:t>
      </w:r>
      <w:r w:rsidR="003E535B">
        <w:rPr>
          <w:szCs w:val="22"/>
          <w:lang w:val="hr-HR" w:eastAsia="hr-HR"/>
        </w:rPr>
        <w:t>)</w:t>
      </w:r>
      <w:r w:rsidR="00EE358E">
        <w:rPr>
          <w:szCs w:val="22"/>
          <w:lang w:val="hr-HR" w:eastAsia="hr-HR"/>
        </w:rPr>
        <w:t>, and 24</w:t>
      </w:r>
      <w:r w:rsidRPr="006F12B8">
        <w:rPr>
          <w:szCs w:val="22"/>
          <w:lang w:val="hr-HR" w:eastAsia="hr-HR"/>
        </w:rPr>
        <w:t xml:space="preserve"> positive monthly return</w:t>
      </w:r>
      <w:r>
        <w:rPr>
          <w:szCs w:val="22"/>
          <w:lang w:val="hr-HR" w:eastAsia="hr-HR"/>
        </w:rPr>
        <w:t>s (with an average of 0.</w:t>
      </w:r>
      <w:r w:rsidR="00EE358E">
        <w:rPr>
          <w:szCs w:val="22"/>
          <w:lang w:val="hr-HR" w:eastAsia="hr-HR"/>
        </w:rPr>
        <w:t>8</w:t>
      </w:r>
      <w:r>
        <w:rPr>
          <w:szCs w:val="22"/>
          <w:lang w:val="hr-HR" w:eastAsia="hr-HR"/>
        </w:rPr>
        <w:t xml:space="preserve">0%), </w:t>
      </w:r>
      <w:r w:rsidR="00FC305A" w:rsidRPr="006F12B8">
        <w:rPr>
          <w:szCs w:val="22"/>
          <w:lang w:val="hr-HR" w:eastAsia="hr-HR"/>
        </w:rPr>
        <w:t xml:space="preserve">from a three-year series of monthly returns of the accounting unit at </w:t>
      </w:r>
      <w:r w:rsidR="00FC305A" w:rsidRPr="00FC305A">
        <w:rPr>
          <w:b/>
          <w:szCs w:val="22"/>
          <w:lang w:val="mk-MK" w:eastAsia="hr-HR"/>
        </w:rPr>
        <w:t>KB Voluntary Pension Fund</w:t>
      </w:r>
      <w:r>
        <w:rPr>
          <w:szCs w:val="22"/>
          <w:lang w:val="hr-HR" w:eastAsia="hr-HR"/>
        </w:rPr>
        <w:t>.</w:t>
      </w:r>
    </w:p>
    <w:p w:rsidR="00FC305A" w:rsidRPr="00FC305A" w:rsidRDefault="00B55A13" w:rsidP="0002721A">
      <w:pPr>
        <w:autoSpaceDE w:val="0"/>
        <w:autoSpaceDN w:val="0"/>
        <w:adjustRightInd w:val="0"/>
        <w:jc w:val="both"/>
        <w:rPr>
          <w:b/>
          <w:szCs w:val="22"/>
          <w:lang w:val="mk-MK" w:eastAsia="hr-HR"/>
        </w:rPr>
      </w:pPr>
      <w:r>
        <w:rPr>
          <w:szCs w:val="22"/>
          <w:lang w:val="hr-HR" w:eastAsia="hr-HR"/>
        </w:rPr>
        <w:t>At</w:t>
      </w:r>
      <w:r w:rsidR="00FC305A" w:rsidRPr="006F12B8">
        <w:rPr>
          <w:szCs w:val="22"/>
          <w:lang w:val="hr-HR" w:eastAsia="hr-HR"/>
        </w:rPr>
        <w:t xml:space="preserve"> </w:t>
      </w:r>
      <w:r w:rsidRPr="00FC305A">
        <w:rPr>
          <w:b/>
          <w:szCs w:val="22"/>
          <w:lang w:val="mk-MK" w:eastAsia="hr-HR"/>
        </w:rPr>
        <w:t>KB Mandatory Pension Fund</w:t>
      </w:r>
      <w:r>
        <w:rPr>
          <w:b/>
          <w:szCs w:val="22"/>
          <w:lang w:eastAsia="hr-HR"/>
        </w:rPr>
        <w:t xml:space="preserve">, </w:t>
      </w:r>
      <w:r w:rsidRPr="00B55A13">
        <w:rPr>
          <w:szCs w:val="22"/>
          <w:lang w:eastAsia="hr-HR"/>
        </w:rPr>
        <w:t>the</w:t>
      </w:r>
      <w:r w:rsidRPr="006F12B8">
        <w:rPr>
          <w:szCs w:val="22"/>
          <w:lang w:val="hr-HR" w:eastAsia="hr-HR"/>
        </w:rPr>
        <w:t xml:space="preserve"> </w:t>
      </w:r>
      <w:r w:rsidR="00FC305A" w:rsidRPr="006F12B8">
        <w:rPr>
          <w:szCs w:val="22"/>
          <w:lang w:val="hr-HR" w:eastAsia="hr-HR"/>
        </w:rPr>
        <w:t xml:space="preserve">statistical analysis of data from a three-year series of monthly returns of the accounting unit </w:t>
      </w:r>
      <w:r>
        <w:rPr>
          <w:szCs w:val="22"/>
          <w:lang w:val="hr-HR" w:eastAsia="hr-HR"/>
        </w:rPr>
        <w:t>presents</w:t>
      </w:r>
      <w:r w:rsidR="00FC305A" w:rsidRPr="006F12B8">
        <w:rPr>
          <w:szCs w:val="22"/>
          <w:lang w:val="hr-HR" w:eastAsia="hr-HR"/>
        </w:rPr>
        <w:t xml:space="preserve"> </w:t>
      </w:r>
      <w:r w:rsidR="00205258">
        <w:rPr>
          <w:szCs w:val="22"/>
          <w:lang w:val="hr-HR" w:eastAsia="hr-HR"/>
        </w:rPr>
        <w:t xml:space="preserve">11 </w:t>
      </w:r>
      <w:r w:rsidR="00FC305A" w:rsidRPr="006F12B8">
        <w:rPr>
          <w:szCs w:val="22"/>
          <w:lang w:val="hr-HR" w:eastAsia="hr-HR"/>
        </w:rPr>
        <w:t xml:space="preserve">negative returns (with an average of </w:t>
      </w:r>
      <w:r w:rsidR="00205258">
        <w:rPr>
          <w:szCs w:val="22"/>
          <w:lang w:val="hr-HR" w:eastAsia="hr-HR"/>
        </w:rPr>
        <w:t>-</w:t>
      </w:r>
      <w:r w:rsidR="00205258" w:rsidRPr="00205258">
        <w:rPr>
          <w:szCs w:val="22"/>
          <w:lang w:val="hr-HR" w:eastAsia="hr-HR"/>
        </w:rPr>
        <w:t>0,99%</w:t>
      </w:r>
      <w:r w:rsidR="003E535B">
        <w:rPr>
          <w:szCs w:val="22"/>
          <w:lang w:val="hr-HR" w:eastAsia="hr-HR"/>
        </w:rPr>
        <w:t>)</w:t>
      </w:r>
      <w:r w:rsidR="00205258" w:rsidRPr="00205258">
        <w:rPr>
          <w:szCs w:val="22"/>
          <w:lang w:val="hr-HR" w:eastAsia="hr-HR"/>
        </w:rPr>
        <w:t xml:space="preserve"> </w:t>
      </w:r>
      <w:r w:rsidR="00FC305A" w:rsidRPr="006F12B8">
        <w:rPr>
          <w:szCs w:val="22"/>
          <w:lang w:val="hr-HR" w:eastAsia="hr-HR"/>
        </w:rPr>
        <w:t xml:space="preserve">and </w:t>
      </w:r>
      <w:r w:rsidR="00EE358E">
        <w:rPr>
          <w:szCs w:val="22"/>
          <w:lang w:val="hr-HR" w:eastAsia="hr-HR"/>
        </w:rPr>
        <w:t>25</w:t>
      </w:r>
      <w:r w:rsidR="00FC305A" w:rsidRPr="006F12B8">
        <w:rPr>
          <w:szCs w:val="22"/>
          <w:lang w:val="hr-HR" w:eastAsia="hr-HR"/>
        </w:rPr>
        <w:t xml:space="preserve"> positive monthly return</w:t>
      </w:r>
      <w:r w:rsidR="00FC305A">
        <w:rPr>
          <w:szCs w:val="22"/>
          <w:lang w:val="hr-HR" w:eastAsia="hr-HR"/>
        </w:rPr>
        <w:t>s (with an average of 0.</w:t>
      </w:r>
      <w:r w:rsidR="00EE358E">
        <w:rPr>
          <w:szCs w:val="22"/>
          <w:lang w:val="hr-HR" w:eastAsia="hr-HR"/>
        </w:rPr>
        <w:t>92</w:t>
      </w:r>
      <w:r w:rsidR="00FC305A">
        <w:rPr>
          <w:szCs w:val="22"/>
          <w:lang w:val="hr-HR" w:eastAsia="hr-HR"/>
        </w:rPr>
        <w:t xml:space="preserve">%). </w:t>
      </w:r>
    </w:p>
    <w:p w:rsidR="00FC305A" w:rsidRDefault="00B55A13" w:rsidP="0002721A">
      <w:pPr>
        <w:autoSpaceDE w:val="0"/>
        <w:autoSpaceDN w:val="0"/>
        <w:adjustRightInd w:val="0"/>
        <w:jc w:val="both"/>
        <w:rPr>
          <w:szCs w:val="22"/>
          <w:lang w:val="hr-HR" w:eastAsia="hr-HR"/>
        </w:rPr>
      </w:pPr>
      <w:r>
        <w:rPr>
          <w:szCs w:val="22"/>
          <w:lang w:val="hr-HR" w:eastAsia="hr-HR"/>
        </w:rPr>
        <w:t xml:space="preserve">The </w:t>
      </w:r>
      <w:r w:rsidR="00FC305A" w:rsidRPr="006F12B8">
        <w:rPr>
          <w:szCs w:val="22"/>
          <w:lang w:val="hr-HR" w:eastAsia="hr-HR"/>
        </w:rPr>
        <w:t xml:space="preserve">statistical </w:t>
      </w:r>
      <w:r w:rsidR="00205258">
        <w:rPr>
          <w:szCs w:val="22"/>
          <w:lang w:val="hr-HR" w:eastAsia="hr-HR"/>
        </w:rPr>
        <w:t xml:space="preserve">analysis </w:t>
      </w:r>
      <w:r w:rsidR="00FC305A" w:rsidRPr="006F12B8">
        <w:rPr>
          <w:szCs w:val="22"/>
          <w:lang w:val="hr-HR" w:eastAsia="hr-HR"/>
        </w:rPr>
        <w:t xml:space="preserve">of </w:t>
      </w:r>
      <w:r w:rsidR="00205258" w:rsidRPr="00FC305A">
        <w:rPr>
          <w:b/>
          <w:szCs w:val="22"/>
          <w:lang w:val="mk-MK" w:eastAsia="hr-HR"/>
        </w:rPr>
        <w:t>KB Publikum - Balanced</w:t>
      </w:r>
      <w:r w:rsidR="00205258" w:rsidRPr="006F12B8">
        <w:rPr>
          <w:szCs w:val="22"/>
          <w:lang w:val="hr-HR" w:eastAsia="hr-HR"/>
        </w:rPr>
        <w:t xml:space="preserve"> </w:t>
      </w:r>
      <w:r w:rsidR="00FC305A" w:rsidRPr="006F12B8">
        <w:rPr>
          <w:szCs w:val="22"/>
          <w:lang w:val="hr-HR" w:eastAsia="hr-HR"/>
        </w:rPr>
        <w:t xml:space="preserve">data from a three-year series of monthly returns of the accounting unit </w:t>
      </w:r>
      <w:r w:rsidR="00205258">
        <w:rPr>
          <w:szCs w:val="22"/>
          <w:lang w:val="hr-HR" w:eastAsia="hr-HR"/>
        </w:rPr>
        <w:t>shows</w:t>
      </w:r>
      <w:r w:rsidR="00FC305A" w:rsidRPr="006F12B8">
        <w:rPr>
          <w:szCs w:val="22"/>
          <w:lang w:val="hr-HR" w:eastAsia="hr-HR"/>
        </w:rPr>
        <w:t xml:space="preserve"> 17 negative returns (with an average of </w:t>
      </w:r>
      <w:r w:rsidR="00205258" w:rsidRPr="00205258">
        <w:rPr>
          <w:szCs w:val="22"/>
          <w:lang w:val="hr-HR" w:eastAsia="hr-HR"/>
        </w:rPr>
        <w:t>-1,81%</w:t>
      </w:r>
      <w:r w:rsidR="003E535B">
        <w:rPr>
          <w:szCs w:val="22"/>
          <w:lang w:val="hr-HR" w:eastAsia="hr-HR"/>
        </w:rPr>
        <w:t>)</w:t>
      </w:r>
      <w:r w:rsidR="00205258" w:rsidRPr="00205258">
        <w:rPr>
          <w:szCs w:val="22"/>
          <w:lang w:val="hr-HR" w:eastAsia="hr-HR"/>
        </w:rPr>
        <w:t xml:space="preserve"> </w:t>
      </w:r>
      <w:r w:rsidR="00FC305A" w:rsidRPr="006F12B8">
        <w:rPr>
          <w:szCs w:val="22"/>
          <w:lang w:val="hr-HR" w:eastAsia="hr-HR"/>
        </w:rPr>
        <w:t>and 19 positive monthly return</w:t>
      </w:r>
      <w:r w:rsidR="00FC305A">
        <w:rPr>
          <w:szCs w:val="22"/>
          <w:lang w:val="hr-HR" w:eastAsia="hr-HR"/>
        </w:rPr>
        <w:t xml:space="preserve">s (with an average of </w:t>
      </w:r>
      <w:r w:rsidR="00EE358E">
        <w:rPr>
          <w:szCs w:val="22"/>
          <w:lang w:val="hr-HR" w:eastAsia="hr-HR"/>
        </w:rPr>
        <w:t>1</w:t>
      </w:r>
      <w:r w:rsidR="00FC305A">
        <w:rPr>
          <w:szCs w:val="22"/>
          <w:lang w:val="hr-HR" w:eastAsia="hr-HR"/>
        </w:rPr>
        <w:t>.</w:t>
      </w:r>
      <w:r w:rsidR="00EE358E">
        <w:rPr>
          <w:szCs w:val="22"/>
          <w:lang w:val="hr-HR" w:eastAsia="hr-HR"/>
        </w:rPr>
        <w:t>5</w:t>
      </w:r>
      <w:r w:rsidR="00FC305A">
        <w:rPr>
          <w:szCs w:val="22"/>
          <w:lang w:val="hr-HR" w:eastAsia="hr-HR"/>
        </w:rPr>
        <w:t xml:space="preserve">0%). </w:t>
      </w:r>
    </w:p>
    <w:p w:rsidR="00525ED2" w:rsidRPr="00525ED2" w:rsidRDefault="00525ED2" w:rsidP="0002721A">
      <w:pPr>
        <w:autoSpaceDE w:val="0"/>
        <w:autoSpaceDN w:val="0"/>
        <w:adjustRightInd w:val="0"/>
        <w:jc w:val="both"/>
        <w:rPr>
          <w:szCs w:val="22"/>
          <w:lang w:eastAsia="hr-HR"/>
        </w:rPr>
      </w:pPr>
      <w:r>
        <w:rPr>
          <w:szCs w:val="22"/>
          <w:lang w:val="hr-HR" w:eastAsia="hr-HR"/>
        </w:rPr>
        <w:t>As the</w:t>
      </w:r>
      <w:r w:rsidRPr="006F12B8">
        <w:rPr>
          <w:szCs w:val="22"/>
          <w:lang w:val="hr-HR" w:eastAsia="hr-HR"/>
        </w:rPr>
        <w:t xml:space="preserve"> statistical analysis </w:t>
      </w:r>
      <w:r>
        <w:rPr>
          <w:szCs w:val="22"/>
          <w:lang w:val="hr-HR" w:eastAsia="hr-HR"/>
        </w:rPr>
        <w:t>shows</w:t>
      </w:r>
      <w:r w:rsidRPr="006F12B8">
        <w:rPr>
          <w:szCs w:val="22"/>
          <w:lang w:val="hr-HR" w:eastAsia="hr-HR"/>
        </w:rPr>
        <w:t>, there were 1</w:t>
      </w:r>
      <w:r>
        <w:rPr>
          <w:szCs w:val="22"/>
          <w:lang w:val="hr-HR" w:eastAsia="hr-HR"/>
        </w:rPr>
        <w:t>5</w:t>
      </w:r>
      <w:r w:rsidRPr="006F12B8">
        <w:rPr>
          <w:szCs w:val="22"/>
          <w:lang w:val="hr-HR" w:eastAsia="hr-HR"/>
        </w:rPr>
        <w:t xml:space="preserve"> negative returns (with an average of </w:t>
      </w:r>
      <w:r w:rsidRPr="00205258">
        <w:rPr>
          <w:szCs w:val="22"/>
          <w:lang w:val="hr-HR" w:eastAsia="hr-HR"/>
        </w:rPr>
        <w:t>-0,46%</w:t>
      </w:r>
      <w:r w:rsidR="003E535B">
        <w:rPr>
          <w:szCs w:val="22"/>
          <w:lang w:val="hr-HR" w:eastAsia="hr-HR"/>
        </w:rPr>
        <w:t>)</w:t>
      </w:r>
      <w:r w:rsidRPr="00205258">
        <w:rPr>
          <w:szCs w:val="22"/>
          <w:lang w:val="hr-HR" w:eastAsia="hr-HR"/>
        </w:rPr>
        <w:t xml:space="preserve"> </w:t>
      </w:r>
      <w:r w:rsidRPr="006F12B8">
        <w:rPr>
          <w:szCs w:val="22"/>
          <w:lang w:val="hr-HR" w:eastAsia="hr-HR"/>
        </w:rPr>
        <w:t xml:space="preserve">and </w:t>
      </w:r>
      <w:r>
        <w:rPr>
          <w:szCs w:val="22"/>
          <w:lang w:val="hr-HR" w:eastAsia="hr-HR"/>
        </w:rPr>
        <w:t>21</w:t>
      </w:r>
      <w:r w:rsidRPr="006F12B8">
        <w:rPr>
          <w:szCs w:val="22"/>
          <w:lang w:val="hr-HR" w:eastAsia="hr-HR"/>
        </w:rPr>
        <w:t xml:space="preserve"> positive monthly return</w:t>
      </w:r>
      <w:r>
        <w:rPr>
          <w:szCs w:val="22"/>
          <w:lang w:val="hr-HR" w:eastAsia="hr-HR"/>
        </w:rPr>
        <w:t xml:space="preserve">s (with an average of 0.84%), </w:t>
      </w:r>
      <w:r w:rsidRPr="006F12B8">
        <w:rPr>
          <w:szCs w:val="22"/>
          <w:lang w:val="hr-HR" w:eastAsia="hr-HR"/>
        </w:rPr>
        <w:t xml:space="preserve">data from a three-year series of monthly returns of the accounting unit at </w:t>
      </w:r>
      <w:r w:rsidRPr="00FC305A">
        <w:rPr>
          <w:b/>
          <w:szCs w:val="22"/>
          <w:lang w:val="mk-MK" w:eastAsia="hr-HR"/>
        </w:rPr>
        <w:t xml:space="preserve">KB Publikum </w:t>
      </w:r>
      <w:r>
        <w:rPr>
          <w:b/>
          <w:szCs w:val="22"/>
          <w:lang w:val="mk-MK" w:eastAsia="hr-HR"/>
        </w:rPr>
        <w:t>–</w:t>
      </w:r>
      <w:r w:rsidRPr="00FC305A">
        <w:rPr>
          <w:b/>
          <w:szCs w:val="22"/>
          <w:lang w:val="mk-MK" w:eastAsia="hr-HR"/>
        </w:rPr>
        <w:t xml:space="preserve"> Bonds</w:t>
      </w:r>
      <w:r>
        <w:rPr>
          <w:b/>
          <w:szCs w:val="22"/>
          <w:lang w:eastAsia="hr-HR"/>
        </w:rPr>
        <w:t>.</w:t>
      </w:r>
    </w:p>
    <w:p w:rsidR="00FC305A" w:rsidRPr="00FC305A" w:rsidRDefault="00525ED2" w:rsidP="0002721A">
      <w:pPr>
        <w:autoSpaceDE w:val="0"/>
        <w:autoSpaceDN w:val="0"/>
        <w:adjustRightInd w:val="0"/>
        <w:jc w:val="both"/>
        <w:rPr>
          <w:b/>
          <w:szCs w:val="22"/>
          <w:lang w:val="mk-MK" w:eastAsia="hr-HR"/>
        </w:rPr>
      </w:pPr>
      <w:r>
        <w:rPr>
          <w:szCs w:val="22"/>
          <w:lang w:val="hr-HR" w:eastAsia="hr-HR"/>
        </w:rPr>
        <w:t>Acording to</w:t>
      </w:r>
      <w:r w:rsidR="00FC305A" w:rsidRPr="006F12B8">
        <w:rPr>
          <w:szCs w:val="22"/>
          <w:lang w:val="hr-HR" w:eastAsia="hr-HR"/>
        </w:rPr>
        <w:t xml:space="preserve"> statistical analysis of data from a three-year series of monthly returns of the accounting unit at </w:t>
      </w:r>
      <w:r w:rsidR="00FC305A" w:rsidRPr="00FC305A">
        <w:rPr>
          <w:b/>
          <w:szCs w:val="22"/>
          <w:lang w:val="mk-MK" w:eastAsia="hr-HR"/>
        </w:rPr>
        <w:t>KD BRIC</w:t>
      </w:r>
      <w:r w:rsidR="00FC305A" w:rsidRPr="006F12B8">
        <w:rPr>
          <w:szCs w:val="22"/>
          <w:lang w:val="hr-HR" w:eastAsia="hr-HR"/>
        </w:rPr>
        <w:t>, there were 1</w:t>
      </w:r>
      <w:r w:rsidR="00205258">
        <w:rPr>
          <w:szCs w:val="22"/>
          <w:lang w:val="hr-HR" w:eastAsia="hr-HR"/>
        </w:rPr>
        <w:t>8</w:t>
      </w:r>
      <w:r w:rsidR="00FC305A" w:rsidRPr="006F12B8">
        <w:rPr>
          <w:szCs w:val="22"/>
          <w:lang w:val="hr-HR" w:eastAsia="hr-HR"/>
        </w:rPr>
        <w:t xml:space="preserve"> negative returns (with an average of -3.</w:t>
      </w:r>
      <w:r w:rsidR="00205258">
        <w:rPr>
          <w:szCs w:val="22"/>
          <w:lang w:val="hr-HR" w:eastAsia="hr-HR"/>
        </w:rPr>
        <w:t>26</w:t>
      </w:r>
      <w:r w:rsidR="00FC305A" w:rsidRPr="006F12B8">
        <w:rPr>
          <w:szCs w:val="22"/>
          <w:lang w:val="hr-HR" w:eastAsia="hr-HR"/>
        </w:rPr>
        <w:t>%</w:t>
      </w:r>
      <w:r w:rsidR="003E535B">
        <w:rPr>
          <w:szCs w:val="22"/>
          <w:lang w:val="hr-HR" w:eastAsia="hr-HR"/>
        </w:rPr>
        <w:t>)</w:t>
      </w:r>
      <w:r w:rsidR="00FC305A" w:rsidRPr="006F12B8">
        <w:rPr>
          <w:szCs w:val="22"/>
          <w:lang w:val="hr-HR" w:eastAsia="hr-HR"/>
        </w:rPr>
        <w:t>, and 1</w:t>
      </w:r>
      <w:r w:rsidR="00EE358E">
        <w:rPr>
          <w:szCs w:val="22"/>
          <w:lang w:val="hr-HR" w:eastAsia="hr-HR"/>
        </w:rPr>
        <w:t>8</w:t>
      </w:r>
      <w:r w:rsidR="00FC305A" w:rsidRPr="006F12B8">
        <w:rPr>
          <w:szCs w:val="22"/>
          <w:lang w:val="hr-HR" w:eastAsia="hr-HR"/>
        </w:rPr>
        <w:t xml:space="preserve"> positive monthly return</w:t>
      </w:r>
      <w:r w:rsidR="00FC305A">
        <w:rPr>
          <w:szCs w:val="22"/>
          <w:lang w:val="hr-HR" w:eastAsia="hr-HR"/>
        </w:rPr>
        <w:t xml:space="preserve">s (with an average of </w:t>
      </w:r>
      <w:r w:rsidR="00B54FD5">
        <w:rPr>
          <w:szCs w:val="22"/>
          <w:lang w:val="hr-HR" w:eastAsia="hr-HR"/>
        </w:rPr>
        <w:t>2</w:t>
      </w:r>
      <w:r w:rsidR="00FC305A">
        <w:rPr>
          <w:szCs w:val="22"/>
          <w:lang w:val="hr-HR" w:eastAsia="hr-HR"/>
        </w:rPr>
        <w:t>.</w:t>
      </w:r>
      <w:r w:rsidR="00B54FD5">
        <w:rPr>
          <w:szCs w:val="22"/>
          <w:lang w:val="hr-HR" w:eastAsia="hr-HR"/>
        </w:rPr>
        <w:t>48</w:t>
      </w:r>
      <w:r w:rsidR="00FC305A">
        <w:rPr>
          <w:szCs w:val="22"/>
          <w:lang w:val="hr-HR" w:eastAsia="hr-HR"/>
        </w:rPr>
        <w:t xml:space="preserve">%). </w:t>
      </w:r>
    </w:p>
    <w:p w:rsidR="00525ED2" w:rsidRPr="00525ED2" w:rsidRDefault="00FC305A" w:rsidP="0002721A">
      <w:pPr>
        <w:autoSpaceDE w:val="0"/>
        <w:autoSpaceDN w:val="0"/>
        <w:adjustRightInd w:val="0"/>
        <w:jc w:val="both"/>
        <w:rPr>
          <w:b/>
          <w:szCs w:val="22"/>
          <w:lang w:eastAsia="hr-HR"/>
        </w:rPr>
      </w:pPr>
      <w:r w:rsidRPr="006F12B8">
        <w:rPr>
          <w:szCs w:val="22"/>
          <w:lang w:val="hr-HR" w:eastAsia="hr-HR"/>
        </w:rPr>
        <w:t xml:space="preserve">Through statistical analysis of data from a three-year series of monthly returns of the accounting unit at </w:t>
      </w:r>
      <w:r w:rsidRPr="00FC305A">
        <w:rPr>
          <w:b/>
          <w:szCs w:val="22"/>
          <w:lang w:val="mk-MK" w:eastAsia="hr-HR"/>
        </w:rPr>
        <w:t>KD South Balkan</w:t>
      </w:r>
      <w:r w:rsidRPr="006F12B8">
        <w:rPr>
          <w:szCs w:val="22"/>
          <w:lang w:val="hr-HR" w:eastAsia="hr-HR"/>
        </w:rPr>
        <w:t xml:space="preserve">, there were </w:t>
      </w:r>
      <w:r w:rsidR="00205258">
        <w:rPr>
          <w:szCs w:val="22"/>
          <w:lang w:val="hr-HR" w:eastAsia="hr-HR"/>
        </w:rPr>
        <w:t>22</w:t>
      </w:r>
      <w:r w:rsidRPr="006F12B8">
        <w:rPr>
          <w:szCs w:val="22"/>
          <w:lang w:val="hr-HR" w:eastAsia="hr-HR"/>
        </w:rPr>
        <w:t xml:space="preserve"> negative returns (with an average of -</w:t>
      </w:r>
      <w:r w:rsidR="00205258">
        <w:rPr>
          <w:szCs w:val="22"/>
          <w:lang w:val="hr-HR" w:eastAsia="hr-HR"/>
        </w:rPr>
        <w:t>2</w:t>
      </w:r>
      <w:r w:rsidRPr="006F12B8">
        <w:rPr>
          <w:szCs w:val="22"/>
          <w:lang w:val="hr-HR" w:eastAsia="hr-HR"/>
        </w:rPr>
        <w:t>.</w:t>
      </w:r>
      <w:r w:rsidR="00205258">
        <w:rPr>
          <w:szCs w:val="22"/>
          <w:lang w:val="hr-HR" w:eastAsia="hr-HR"/>
        </w:rPr>
        <w:t>22</w:t>
      </w:r>
      <w:r w:rsidRPr="006F12B8">
        <w:rPr>
          <w:szCs w:val="22"/>
          <w:lang w:val="hr-HR" w:eastAsia="hr-HR"/>
        </w:rPr>
        <w:t>%</w:t>
      </w:r>
      <w:r w:rsidR="003E535B">
        <w:rPr>
          <w:szCs w:val="22"/>
          <w:lang w:val="hr-HR" w:eastAsia="hr-HR"/>
        </w:rPr>
        <w:t>)</w:t>
      </w:r>
      <w:r w:rsidRPr="006F12B8">
        <w:rPr>
          <w:szCs w:val="22"/>
          <w:lang w:val="hr-HR" w:eastAsia="hr-HR"/>
        </w:rPr>
        <w:t>, and 1</w:t>
      </w:r>
      <w:r w:rsidR="00EE358E">
        <w:rPr>
          <w:szCs w:val="22"/>
          <w:lang w:val="hr-HR" w:eastAsia="hr-HR"/>
        </w:rPr>
        <w:t>4</w:t>
      </w:r>
      <w:r w:rsidRPr="006F12B8">
        <w:rPr>
          <w:szCs w:val="22"/>
          <w:lang w:val="hr-HR" w:eastAsia="hr-HR"/>
        </w:rPr>
        <w:t xml:space="preserve"> positive monthly return</w:t>
      </w:r>
      <w:r>
        <w:rPr>
          <w:szCs w:val="22"/>
          <w:lang w:val="hr-HR" w:eastAsia="hr-HR"/>
        </w:rPr>
        <w:t xml:space="preserve">s (with an average of </w:t>
      </w:r>
      <w:r w:rsidR="00B54FD5">
        <w:rPr>
          <w:szCs w:val="22"/>
          <w:lang w:val="hr-HR" w:eastAsia="hr-HR"/>
        </w:rPr>
        <w:t>2</w:t>
      </w:r>
      <w:r>
        <w:rPr>
          <w:szCs w:val="22"/>
          <w:lang w:val="hr-HR" w:eastAsia="hr-HR"/>
        </w:rPr>
        <w:t>.</w:t>
      </w:r>
      <w:r w:rsidR="00B54FD5">
        <w:rPr>
          <w:szCs w:val="22"/>
          <w:lang w:val="hr-HR" w:eastAsia="hr-HR"/>
        </w:rPr>
        <w:t>14</w:t>
      </w:r>
      <w:r>
        <w:rPr>
          <w:szCs w:val="22"/>
          <w:lang w:val="hr-HR" w:eastAsia="hr-HR"/>
        </w:rPr>
        <w:t xml:space="preserve">%). </w:t>
      </w:r>
    </w:p>
    <w:p w:rsidR="00525ED2" w:rsidRPr="00525ED2" w:rsidRDefault="00525ED2" w:rsidP="0002721A">
      <w:pPr>
        <w:autoSpaceDE w:val="0"/>
        <w:autoSpaceDN w:val="0"/>
        <w:adjustRightInd w:val="0"/>
        <w:jc w:val="both"/>
        <w:rPr>
          <w:b/>
          <w:szCs w:val="22"/>
          <w:lang w:eastAsia="hr-HR"/>
        </w:rPr>
      </w:pPr>
      <w:r>
        <w:rPr>
          <w:szCs w:val="22"/>
          <w:lang w:val="hr-HR" w:eastAsia="hr-HR"/>
        </w:rPr>
        <w:t>Based on the performed</w:t>
      </w:r>
      <w:r w:rsidR="00FC305A" w:rsidRPr="006F12B8">
        <w:rPr>
          <w:szCs w:val="22"/>
          <w:lang w:val="hr-HR" w:eastAsia="hr-HR"/>
        </w:rPr>
        <w:t xml:space="preserve"> statistical analysis of data from a three-year series of monthly returns of the accounting unit at </w:t>
      </w:r>
      <w:r w:rsidR="00FC305A" w:rsidRPr="00FC305A">
        <w:rPr>
          <w:b/>
          <w:szCs w:val="22"/>
          <w:lang w:val="mk-MK" w:eastAsia="hr-HR"/>
        </w:rPr>
        <w:t>NLB Penzija plus</w:t>
      </w:r>
      <w:r w:rsidR="00FC305A" w:rsidRPr="006F12B8">
        <w:rPr>
          <w:szCs w:val="22"/>
          <w:lang w:val="hr-HR" w:eastAsia="hr-HR"/>
        </w:rPr>
        <w:t xml:space="preserve">, there were </w:t>
      </w:r>
      <w:r w:rsidR="00205258">
        <w:rPr>
          <w:szCs w:val="22"/>
          <w:lang w:val="hr-HR" w:eastAsia="hr-HR"/>
        </w:rPr>
        <w:t>13</w:t>
      </w:r>
      <w:r w:rsidR="00FC305A" w:rsidRPr="006F12B8">
        <w:rPr>
          <w:szCs w:val="22"/>
          <w:lang w:val="hr-HR" w:eastAsia="hr-HR"/>
        </w:rPr>
        <w:t xml:space="preserve"> negative returns (with an average of -</w:t>
      </w:r>
      <w:r w:rsidR="00EE358E">
        <w:rPr>
          <w:szCs w:val="22"/>
          <w:lang w:val="hr-HR" w:eastAsia="hr-HR"/>
        </w:rPr>
        <w:t>0</w:t>
      </w:r>
      <w:r w:rsidR="00FC305A" w:rsidRPr="006F12B8">
        <w:rPr>
          <w:szCs w:val="22"/>
          <w:lang w:val="hr-HR" w:eastAsia="hr-HR"/>
        </w:rPr>
        <w:t>.</w:t>
      </w:r>
      <w:r w:rsidR="00EE358E">
        <w:rPr>
          <w:szCs w:val="22"/>
          <w:lang w:val="hr-HR" w:eastAsia="hr-HR"/>
        </w:rPr>
        <w:t>74</w:t>
      </w:r>
      <w:r w:rsidR="00FC305A" w:rsidRPr="006F12B8">
        <w:rPr>
          <w:szCs w:val="22"/>
          <w:lang w:val="hr-HR" w:eastAsia="hr-HR"/>
        </w:rPr>
        <w:t>%</w:t>
      </w:r>
      <w:r w:rsidR="003E535B">
        <w:rPr>
          <w:szCs w:val="22"/>
          <w:lang w:val="hr-HR" w:eastAsia="hr-HR"/>
        </w:rPr>
        <w:t>)</w:t>
      </w:r>
      <w:r w:rsidR="00FC305A" w:rsidRPr="006F12B8">
        <w:rPr>
          <w:szCs w:val="22"/>
          <w:lang w:val="hr-HR" w:eastAsia="hr-HR"/>
        </w:rPr>
        <w:t xml:space="preserve">, and </w:t>
      </w:r>
      <w:r w:rsidR="00EE358E">
        <w:rPr>
          <w:szCs w:val="22"/>
          <w:lang w:val="hr-HR" w:eastAsia="hr-HR"/>
        </w:rPr>
        <w:t>23</w:t>
      </w:r>
      <w:r w:rsidR="00FC305A" w:rsidRPr="006F12B8">
        <w:rPr>
          <w:szCs w:val="22"/>
          <w:lang w:val="hr-HR" w:eastAsia="hr-HR"/>
        </w:rPr>
        <w:t xml:space="preserve"> positive monthly return</w:t>
      </w:r>
      <w:r w:rsidR="00FC305A">
        <w:rPr>
          <w:szCs w:val="22"/>
          <w:lang w:val="hr-HR" w:eastAsia="hr-HR"/>
        </w:rPr>
        <w:t>s (with an average of 0.</w:t>
      </w:r>
      <w:r w:rsidR="00B54FD5">
        <w:rPr>
          <w:szCs w:val="22"/>
          <w:lang w:val="hr-HR" w:eastAsia="hr-HR"/>
        </w:rPr>
        <w:t>91</w:t>
      </w:r>
      <w:r w:rsidR="00FC305A">
        <w:rPr>
          <w:szCs w:val="22"/>
          <w:lang w:val="hr-HR" w:eastAsia="hr-HR"/>
        </w:rPr>
        <w:t xml:space="preserve">%). </w:t>
      </w:r>
    </w:p>
    <w:p w:rsidR="00EE358E" w:rsidRDefault="00525ED2" w:rsidP="0002721A">
      <w:pPr>
        <w:autoSpaceDE w:val="0"/>
        <w:autoSpaceDN w:val="0"/>
        <w:adjustRightInd w:val="0"/>
        <w:jc w:val="both"/>
        <w:rPr>
          <w:szCs w:val="22"/>
          <w:lang w:val="mk-MK" w:eastAsia="hr-HR"/>
        </w:rPr>
      </w:pPr>
      <w:r>
        <w:rPr>
          <w:szCs w:val="22"/>
          <w:lang w:val="hr-HR" w:eastAsia="hr-HR"/>
        </w:rPr>
        <w:t>A</w:t>
      </w:r>
      <w:r w:rsidRPr="006F12B8">
        <w:rPr>
          <w:szCs w:val="22"/>
          <w:lang w:val="hr-HR" w:eastAsia="hr-HR"/>
        </w:rPr>
        <w:t xml:space="preserve">t </w:t>
      </w:r>
      <w:r w:rsidRPr="00FC305A">
        <w:rPr>
          <w:b/>
          <w:szCs w:val="22"/>
          <w:lang w:val="mk-MK" w:eastAsia="hr-HR"/>
        </w:rPr>
        <w:t>NLB Nov Penziski Fond</w:t>
      </w:r>
      <w:r>
        <w:rPr>
          <w:szCs w:val="22"/>
          <w:lang w:val="hr-HR" w:eastAsia="hr-HR"/>
        </w:rPr>
        <w:t>,</w:t>
      </w:r>
      <w:r w:rsidR="00FC305A" w:rsidRPr="006F12B8">
        <w:rPr>
          <w:szCs w:val="22"/>
          <w:lang w:val="hr-HR" w:eastAsia="hr-HR"/>
        </w:rPr>
        <w:t xml:space="preserve"> statistical analysis of data from a three-year series of monthly returns of the accounting unit </w:t>
      </w:r>
      <w:r>
        <w:rPr>
          <w:szCs w:val="22"/>
          <w:lang w:val="hr-HR" w:eastAsia="hr-HR"/>
        </w:rPr>
        <w:t>presents</w:t>
      </w:r>
      <w:r w:rsidR="00FC305A" w:rsidRPr="006F12B8">
        <w:rPr>
          <w:szCs w:val="22"/>
          <w:lang w:val="hr-HR" w:eastAsia="hr-HR"/>
        </w:rPr>
        <w:t xml:space="preserve"> 1</w:t>
      </w:r>
      <w:r w:rsidR="00205258">
        <w:rPr>
          <w:szCs w:val="22"/>
          <w:lang w:val="hr-HR" w:eastAsia="hr-HR"/>
        </w:rPr>
        <w:t>1</w:t>
      </w:r>
      <w:r w:rsidR="00FC305A" w:rsidRPr="006F12B8">
        <w:rPr>
          <w:szCs w:val="22"/>
          <w:lang w:val="hr-HR" w:eastAsia="hr-HR"/>
        </w:rPr>
        <w:t xml:space="preserve"> negative returns (with an average of -</w:t>
      </w:r>
      <w:r w:rsidR="00EE358E">
        <w:rPr>
          <w:szCs w:val="22"/>
          <w:lang w:val="hr-HR" w:eastAsia="hr-HR"/>
        </w:rPr>
        <w:t>0</w:t>
      </w:r>
      <w:r w:rsidR="00FC305A" w:rsidRPr="006F12B8">
        <w:rPr>
          <w:szCs w:val="22"/>
          <w:lang w:val="hr-HR" w:eastAsia="hr-HR"/>
        </w:rPr>
        <w:t>.</w:t>
      </w:r>
      <w:r w:rsidR="00EE358E">
        <w:rPr>
          <w:szCs w:val="22"/>
          <w:lang w:val="hr-HR" w:eastAsia="hr-HR"/>
        </w:rPr>
        <w:t>79</w:t>
      </w:r>
      <w:r w:rsidR="00FC305A" w:rsidRPr="006F12B8">
        <w:rPr>
          <w:szCs w:val="22"/>
          <w:lang w:val="hr-HR" w:eastAsia="hr-HR"/>
        </w:rPr>
        <w:t>%</w:t>
      </w:r>
      <w:r w:rsidR="003E535B">
        <w:rPr>
          <w:szCs w:val="22"/>
          <w:lang w:val="hr-HR" w:eastAsia="hr-HR"/>
        </w:rPr>
        <w:t>)</w:t>
      </w:r>
      <w:r w:rsidR="00FC305A" w:rsidRPr="006F12B8">
        <w:rPr>
          <w:szCs w:val="22"/>
          <w:lang w:val="hr-HR" w:eastAsia="hr-HR"/>
        </w:rPr>
        <w:t xml:space="preserve">, and </w:t>
      </w:r>
      <w:r w:rsidR="00EE358E">
        <w:rPr>
          <w:szCs w:val="22"/>
          <w:lang w:val="hr-HR" w:eastAsia="hr-HR"/>
        </w:rPr>
        <w:t>25</w:t>
      </w:r>
      <w:r w:rsidR="00FC305A" w:rsidRPr="006F12B8">
        <w:rPr>
          <w:szCs w:val="22"/>
          <w:lang w:val="hr-HR" w:eastAsia="hr-HR"/>
        </w:rPr>
        <w:t xml:space="preserve"> positive monthly return</w:t>
      </w:r>
      <w:r w:rsidR="00FC305A">
        <w:rPr>
          <w:szCs w:val="22"/>
          <w:lang w:val="hr-HR" w:eastAsia="hr-HR"/>
        </w:rPr>
        <w:t>s (with an average of 0.</w:t>
      </w:r>
      <w:r w:rsidR="00B54FD5">
        <w:rPr>
          <w:szCs w:val="22"/>
          <w:lang w:val="hr-HR" w:eastAsia="hr-HR"/>
        </w:rPr>
        <w:t>88</w:t>
      </w:r>
      <w:r w:rsidR="00FC305A">
        <w:rPr>
          <w:szCs w:val="22"/>
          <w:lang w:val="hr-HR" w:eastAsia="hr-HR"/>
        </w:rPr>
        <w:t xml:space="preserve">%). </w:t>
      </w:r>
    </w:p>
    <w:p w:rsidR="0002721A" w:rsidRDefault="0002721A" w:rsidP="0002721A">
      <w:pPr>
        <w:autoSpaceDE w:val="0"/>
        <w:autoSpaceDN w:val="0"/>
        <w:adjustRightInd w:val="0"/>
        <w:jc w:val="both"/>
        <w:rPr>
          <w:lang w:val="hr-HR" w:eastAsia="hr-HR"/>
        </w:rPr>
      </w:pPr>
      <w:r w:rsidRPr="0044240E">
        <w:rPr>
          <w:noProof/>
          <w:lang w:val="mk-MK" w:eastAsia="mk-MK"/>
        </w:rPr>
        <w:drawing>
          <wp:inline distT="0" distB="0" distL="0" distR="0">
            <wp:extent cx="5759450" cy="1883707"/>
            <wp:effectExtent l="1905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grayscl/>
                    </a:blip>
                    <a:srcRect/>
                    <a:stretch>
                      <a:fillRect/>
                    </a:stretch>
                  </pic:blipFill>
                  <pic:spPr bwMode="auto">
                    <a:xfrm>
                      <a:off x="0" y="0"/>
                      <a:ext cx="5759450" cy="1883707"/>
                    </a:xfrm>
                    <a:prstGeom prst="rect">
                      <a:avLst/>
                    </a:prstGeom>
                    <a:noFill/>
                    <a:ln w="9525">
                      <a:noFill/>
                      <a:miter lim="800000"/>
                      <a:headEnd/>
                      <a:tailEnd/>
                    </a:ln>
                  </pic:spPr>
                </pic:pic>
              </a:graphicData>
            </a:graphic>
          </wp:inline>
        </w:drawing>
      </w:r>
    </w:p>
    <w:p w:rsidR="0002721A" w:rsidRDefault="0002721A" w:rsidP="0002721A">
      <w:pPr>
        <w:pStyle w:val="BodyText"/>
        <w:ind w:left="770" w:hanging="784"/>
        <w:jc w:val="left"/>
        <w:rPr>
          <w:b w:val="0"/>
          <w:sz w:val="22"/>
          <w:szCs w:val="22"/>
        </w:rPr>
      </w:pPr>
    </w:p>
    <w:p w:rsidR="00FC305A" w:rsidRPr="00E96EA2" w:rsidRDefault="0002721A" w:rsidP="00E96EA2">
      <w:pPr>
        <w:pStyle w:val="BodyText"/>
        <w:ind w:left="770" w:hanging="784"/>
        <w:jc w:val="left"/>
        <w:rPr>
          <w:b w:val="0"/>
          <w:sz w:val="22"/>
          <w:szCs w:val="22"/>
          <w:lang w:val="mk-MK"/>
        </w:rPr>
      </w:pPr>
      <w:r w:rsidRPr="00AA113E">
        <w:rPr>
          <w:b w:val="0"/>
          <w:sz w:val="22"/>
          <w:szCs w:val="22"/>
        </w:rPr>
        <w:t xml:space="preserve">Table 1: </w:t>
      </w:r>
      <w:r w:rsidRPr="006F12B8">
        <w:rPr>
          <w:b w:val="0"/>
          <w:sz w:val="22"/>
          <w:szCs w:val="22"/>
        </w:rPr>
        <w:t>Returns from the accounting units of the funds, standard deviation and cor</w:t>
      </w:r>
      <w:r>
        <w:rPr>
          <w:b w:val="0"/>
          <w:sz w:val="22"/>
          <w:szCs w:val="22"/>
        </w:rPr>
        <w:t>r</w:t>
      </w:r>
      <w:r w:rsidRPr="006F12B8">
        <w:rPr>
          <w:b w:val="0"/>
          <w:sz w:val="22"/>
          <w:szCs w:val="22"/>
        </w:rPr>
        <w:t>elation.</w:t>
      </w:r>
    </w:p>
    <w:p w:rsidR="00EE0CAD" w:rsidRDefault="00EE0CAD" w:rsidP="00287DB2">
      <w:pPr>
        <w:autoSpaceDE w:val="0"/>
        <w:autoSpaceDN w:val="0"/>
        <w:adjustRightInd w:val="0"/>
        <w:rPr>
          <w:szCs w:val="22"/>
          <w:lang w:val="hr-HR" w:eastAsia="hr-HR"/>
        </w:rPr>
      </w:pPr>
    </w:p>
    <w:p w:rsidR="006F12B8" w:rsidRPr="00EE0CAD" w:rsidRDefault="00EE0CAD" w:rsidP="00EE0CAD">
      <w:pPr>
        <w:jc w:val="both"/>
        <w:rPr>
          <w:b/>
          <w:bCs/>
          <w:sz w:val="28"/>
          <w:szCs w:val="28"/>
          <w:lang w:val="en-GB"/>
        </w:rPr>
      </w:pPr>
      <w:r>
        <w:rPr>
          <w:b/>
          <w:bCs/>
          <w:sz w:val="28"/>
          <w:szCs w:val="28"/>
          <w:lang w:val="en-GB"/>
        </w:rPr>
        <w:t>2</w:t>
      </w:r>
      <w:r w:rsidRPr="006D6858">
        <w:rPr>
          <w:b/>
          <w:bCs/>
          <w:sz w:val="28"/>
          <w:szCs w:val="28"/>
          <w:lang w:val="en-GB"/>
        </w:rPr>
        <w:t>.</w:t>
      </w:r>
      <w:r>
        <w:rPr>
          <w:b/>
          <w:bCs/>
          <w:sz w:val="28"/>
          <w:szCs w:val="28"/>
          <w:lang w:val="en-GB"/>
        </w:rPr>
        <w:t xml:space="preserve"> Investment statistics</w:t>
      </w:r>
    </w:p>
    <w:p w:rsidR="002D0C31" w:rsidRDefault="002D0C31" w:rsidP="00287DB2">
      <w:pPr>
        <w:autoSpaceDE w:val="0"/>
        <w:autoSpaceDN w:val="0"/>
        <w:adjustRightInd w:val="0"/>
        <w:rPr>
          <w:b/>
          <w:szCs w:val="28"/>
          <w:lang w:val="mk-MK" w:eastAsia="hr-HR"/>
        </w:rPr>
      </w:pPr>
    </w:p>
    <w:p w:rsidR="00287DB2" w:rsidRPr="00287DB2" w:rsidRDefault="00287DB2" w:rsidP="00287DB2">
      <w:pPr>
        <w:autoSpaceDE w:val="0"/>
        <w:autoSpaceDN w:val="0"/>
        <w:adjustRightInd w:val="0"/>
        <w:rPr>
          <w:sz w:val="20"/>
          <w:szCs w:val="22"/>
          <w:lang w:eastAsia="hr-HR"/>
        </w:rPr>
      </w:pPr>
      <w:r w:rsidRPr="00287DB2">
        <w:rPr>
          <w:b/>
          <w:szCs w:val="28"/>
          <w:lang w:val="hr-HR" w:eastAsia="hr-HR"/>
        </w:rPr>
        <w:t>2.</w:t>
      </w:r>
      <w:r>
        <w:rPr>
          <w:b/>
          <w:szCs w:val="28"/>
          <w:lang w:eastAsia="hr-HR"/>
        </w:rPr>
        <w:t>1</w:t>
      </w:r>
      <w:r w:rsidR="004C63C5">
        <w:rPr>
          <w:b/>
          <w:szCs w:val="28"/>
          <w:lang w:eastAsia="hr-HR"/>
        </w:rPr>
        <w:t xml:space="preserve"> </w:t>
      </w:r>
      <w:r w:rsidRPr="00287DB2">
        <w:rPr>
          <w:b/>
          <w:szCs w:val="28"/>
          <w:lang w:val="hr-HR" w:eastAsia="hr-HR"/>
        </w:rPr>
        <w:t>Absolute Risk Measures</w:t>
      </w:r>
    </w:p>
    <w:p w:rsidR="00287DB2" w:rsidRDefault="00287DB2" w:rsidP="00287DB2">
      <w:pPr>
        <w:autoSpaceDE w:val="0"/>
        <w:autoSpaceDN w:val="0"/>
        <w:adjustRightInd w:val="0"/>
        <w:rPr>
          <w:lang w:eastAsia="hr-HR"/>
        </w:rPr>
      </w:pPr>
    </w:p>
    <w:p w:rsidR="00287DB2" w:rsidRDefault="00287DB2" w:rsidP="0002721A">
      <w:pPr>
        <w:autoSpaceDE w:val="0"/>
        <w:autoSpaceDN w:val="0"/>
        <w:adjustRightInd w:val="0"/>
        <w:jc w:val="both"/>
        <w:rPr>
          <w:lang w:eastAsia="hr-HR"/>
        </w:rPr>
      </w:pPr>
      <w:r w:rsidRPr="002D0C31">
        <w:rPr>
          <w:lang w:eastAsia="hr-HR"/>
        </w:rPr>
        <w:t>Standard deviation measures how dispersed returns are around the average. When standard deviation is higher it indicates that returns are spread out over a larger range of values which makes them more volatile.</w:t>
      </w:r>
      <w:r>
        <w:rPr>
          <w:lang w:eastAsia="hr-HR"/>
        </w:rPr>
        <w:t xml:space="preserve"> </w:t>
      </w:r>
      <w:r w:rsidR="00F90E3D">
        <w:rPr>
          <w:rStyle w:val="FootnoteReference"/>
          <w:lang w:eastAsia="hr-HR"/>
        </w:rPr>
        <w:footnoteReference w:id="2"/>
      </w:r>
    </w:p>
    <w:p w:rsidR="00287DB2" w:rsidRPr="00B017B6" w:rsidRDefault="00287DB2" w:rsidP="0002721A">
      <w:pPr>
        <w:autoSpaceDE w:val="0"/>
        <w:autoSpaceDN w:val="0"/>
        <w:adjustRightInd w:val="0"/>
        <w:jc w:val="both"/>
        <w:rPr>
          <w:lang w:val="hr-HR" w:eastAsia="hr-HR"/>
        </w:rPr>
      </w:pPr>
      <w:r w:rsidRPr="00B017B6">
        <w:rPr>
          <w:lang w:val="hr-HR" w:eastAsia="hr-HR"/>
        </w:rPr>
        <w:lastRenderedPageBreak/>
        <w:t xml:space="preserve">Investors at times begin a quantitative screening with the statement that they want a “low risk” fund. The connections between risk and standard deviation in the world of traditional investments go way back in history, thus they equate high standard deviation with high risk and also use standard deviation as a comparative statistic, when the truth is that standard deviation is just a statistic that measures predictability. </w:t>
      </w:r>
    </w:p>
    <w:p w:rsidR="00287DB2" w:rsidRDefault="00287DB2" w:rsidP="0002721A">
      <w:pPr>
        <w:autoSpaceDE w:val="0"/>
        <w:autoSpaceDN w:val="0"/>
        <w:adjustRightInd w:val="0"/>
        <w:jc w:val="both"/>
        <w:rPr>
          <w:lang w:val="hr-HR" w:eastAsia="hr-HR"/>
        </w:rPr>
      </w:pPr>
      <w:r w:rsidRPr="00B017B6">
        <w:rPr>
          <w:lang w:val="hr-HR" w:eastAsia="hr-HR"/>
        </w:rPr>
        <w:t>A high standard deviation means that the fund is volatile, not that the fund is risky or will lose money, while a low standard deviation means a fund is generally consistent in producing similar returns. A fund can have extremely low standard deviation and lose money consistently, or have high standard deviation and never experience a losing period.</w:t>
      </w:r>
      <w:r w:rsidR="00AC0DB5">
        <w:rPr>
          <w:rStyle w:val="FootnoteReference"/>
          <w:lang w:val="hr-HR" w:eastAsia="hr-HR"/>
        </w:rPr>
        <w:footnoteReference w:id="3"/>
      </w:r>
    </w:p>
    <w:p w:rsidR="00287DB2" w:rsidRDefault="00287DB2" w:rsidP="0002721A">
      <w:pPr>
        <w:autoSpaceDE w:val="0"/>
        <w:autoSpaceDN w:val="0"/>
        <w:adjustRightInd w:val="0"/>
        <w:jc w:val="both"/>
        <w:rPr>
          <w:lang w:eastAsia="hr-HR"/>
        </w:rPr>
      </w:pPr>
      <w:r w:rsidRPr="00B017B6">
        <w:rPr>
          <w:lang w:eastAsia="hr-HR"/>
        </w:rPr>
        <w:t xml:space="preserve">When it comes to comparing traditional return analysis and absolute return analysis one of the differences between the two is accepting the fact that volatility is good, provided it is on the upside. </w:t>
      </w:r>
      <w:bookmarkStart w:id="0" w:name="OLE_LINK3"/>
      <w:bookmarkStart w:id="1" w:name="OLE_LINK4"/>
      <w:r w:rsidRPr="00B017B6">
        <w:rPr>
          <w:lang w:eastAsia="hr-HR"/>
        </w:rPr>
        <w:t xml:space="preserve">By all means, upside volatility should be less of a concern for most investors, who should consider downside deviation as a better measure of a fund’s ability to achieve its return goal. </w:t>
      </w:r>
      <w:bookmarkEnd w:id="0"/>
      <w:bookmarkEnd w:id="1"/>
      <w:r w:rsidRPr="00B017B6">
        <w:rPr>
          <w:lang w:eastAsia="hr-HR"/>
        </w:rPr>
        <w:t>Therefore investors should acquaint themselves with downside deviation. Downside deviation introduces the concept of minimum acceptable return (MAR) as a risk factor.</w:t>
      </w:r>
      <w:r>
        <w:rPr>
          <w:lang w:eastAsia="hr-HR"/>
        </w:rPr>
        <w:t xml:space="preserve"> </w:t>
      </w:r>
      <w:r w:rsidRPr="00B017B6">
        <w:rPr>
          <w:lang w:eastAsia="hr-HR"/>
        </w:rPr>
        <w:t>Downside deviation is a modification of the standard deviation such that only variation below a minimum acceptable return is considered. The minimum acceptable return can be chosen to match specific investment objectives.</w:t>
      </w:r>
      <w:r w:rsidR="00FA0714">
        <w:rPr>
          <w:rStyle w:val="FootnoteReference"/>
          <w:lang w:eastAsia="hr-HR"/>
        </w:rPr>
        <w:footnoteReference w:id="4"/>
      </w:r>
    </w:p>
    <w:p w:rsidR="00E96EA2" w:rsidRDefault="00E96EA2" w:rsidP="0002721A">
      <w:pPr>
        <w:autoSpaceDE w:val="0"/>
        <w:autoSpaceDN w:val="0"/>
        <w:adjustRightInd w:val="0"/>
        <w:jc w:val="both"/>
        <w:rPr>
          <w:sz w:val="22"/>
          <w:szCs w:val="22"/>
          <w:lang w:eastAsia="hr-HR"/>
        </w:rPr>
      </w:pPr>
    </w:p>
    <w:p w:rsidR="00287DB2" w:rsidRDefault="00287DB2" w:rsidP="002D0C31">
      <w:pPr>
        <w:jc w:val="center"/>
      </w:pPr>
      <w:r w:rsidRPr="0054074E">
        <w:t xml:space="preserve">Downside Deviation = </w:t>
      </w:r>
      <m:oMath>
        <m:f>
          <m:fPr>
            <m:ctrlPr>
              <w:rPr>
                <w:rFonts w:ascii="Cambria Math" w:hAnsi="Cambria Math"/>
                <w:i/>
              </w:rPr>
            </m:ctrlPr>
          </m:fPr>
          <m:num>
            <m:rad>
              <m:radPr>
                <m:degHide m:val="on"/>
                <m:ctrlPr>
                  <w:rPr>
                    <w:rFonts w:ascii="Cambria Math" w:hAnsi="Cambria Math"/>
                    <w:i/>
                  </w:rPr>
                </m:ctrlPr>
              </m:radPr>
              <m:deg/>
              <m:e>
                <m:nary>
                  <m:naryPr>
                    <m:chr m:val="∑"/>
                    <m:limLoc m:val="undOvr"/>
                    <m:ctrlPr>
                      <w:rPr>
                        <w:rFonts w:ascii="Cambria Math" w:hAnsi="Cambria Math"/>
                        <w:i/>
                      </w:rPr>
                    </m:ctrlPr>
                  </m:naryPr>
                  <m:sub>
                    <m:r>
                      <w:rPr>
                        <w:rFonts w:ascii="Cambria Math" w:hAnsi="Cambria Math"/>
                      </w:rPr>
                      <m:t>i</m:t>
                    </m:r>
                    <m:r>
                      <w:rPr>
                        <w:rFonts w:ascii="Cambria Math"/>
                      </w:rPr>
                      <m:t>=1</m:t>
                    </m:r>
                  </m:sub>
                  <m:sup>
                    <m:r>
                      <w:rPr>
                        <w:rFonts w:ascii="Cambria Math" w:hAnsi="Cambria Math"/>
                      </w:rPr>
                      <m:t>n</m:t>
                    </m:r>
                  </m:sup>
                  <m:e>
                    <m:r>
                      <w:rPr>
                        <w:rFonts w:ascii="Cambria Math"/>
                      </w:rPr>
                      <m:t>(</m:t>
                    </m:r>
                    <m:r>
                      <w:rPr>
                        <w:rFonts w:ascii="Cambria Math" w:hAnsi="Cambria Math"/>
                      </w:rPr>
                      <m:t>MIN</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-MAR</m:t>
                        </m:r>
                        <m:r>
                          <w:rPr>
                            <w:rFonts w:ascii="Cambria Math"/>
                          </w:rPr>
                          <m:t>,0</m:t>
                        </m:r>
                      </m:e>
                    </m:d>
                    <m:r>
                      <w:rPr>
                        <w:rFonts w:ascii="Cambria Math"/>
                      </w:rPr>
                      <m:t>)</m:t>
                    </m:r>
                  </m:e>
                </m:nary>
              </m:e>
            </m:rad>
          </m:num>
          <m:den>
            <m:r>
              <w:rPr>
                <w:rFonts w:ascii="Cambria Math" w:hAnsi="Cambria Math"/>
              </w:rPr>
              <m:t>N</m:t>
            </m:r>
          </m:den>
        </m:f>
      </m:oMath>
    </w:p>
    <w:p w:rsidR="00C77767" w:rsidRDefault="00C77767" w:rsidP="002D0C31">
      <w:pPr>
        <w:jc w:val="center"/>
      </w:pPr>
    </w:p>
    <w:p w:rsidR="00C77767" w:rsidRDefault="00C77767" w:rsidP="00C77767">
      <w:pPr>
        <w:jc w:val="center"/>
        <w:rPr>
          <w:sz w:val="22"/>
          <w:szCs w:val="22"/>
        </w:rPr>
      </w:pPr>
      <w:r w:rsidRPr="00C77767">
        <w:rPr>
          <w:noProof/>
          <w:lang w:val="mk-MK" w:eastAsia="mk-MK"/>
        </w:rPr>
        <w:drawing>
          <wp:inline distT="0" distB="0" distL="0" distR="0">
            <wp:extent cx="5759450" cy="68827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grayscl/>
                    </a:blip>
                    <a:srcRect/>
                    <a:stretch>
                      <a:fillRect/>
                    </a:stretch>
                  </pic:blipFill>
                  <pic:spPr bwMode="auto">
                    <a:xfrm>
                      <a:off x="0" y="0"/>
                      <a:ext cx="5759450" cy="688277"/>
                    </a:xfrm>
                    <a:prstGeom prst="rect">
                      <a:avLst/>
                    </a:prstGeom>
                    <a:noFill/>
                    <a:ln w="9525">
                      <a:noFill/>
                      <a:miter lim="800000"/>
                      <a:headEnd/>
                      <a:tailEnd/>
                    </a:ln>
                  </pic:spPr>
                </pic:pic>
              </a:graphicData>
            </a:graphic>
          </wp:inline>
        </w:drawing>
      </w:r>
    </w:p>
    <w:p w:rsidR="00C77767" w:rsidRDefault="00C77767" w:rsidP="00C77767">
      <w:pPr>
        <w:rPr>
          <w:sz w:val="22"/>
          <w:szCs w:val="22"/>
        </w:rPr>
      </w:pPr>
    </w:p>
    <w:p w:rsidR="002D0C31" w:rsidRPr="00C77767" w:rsidRDefault="00C77767" w:rsidP="00C77767">
      <w:pPr>
        <w:rPr>
          <w:lang w:val="mk-MK"/>
        </w:rPr>
      </w:pPr>
      <w:r w:rsidRPr="00AA113E">
        <w:rPr>
          <w:sz w:val="22"/>
          <w:szCs w:val="22"/>
        </w:rPr>
        <w:t xml:space="preserve">Table </w:t>
      </w:r>
      <w:r>
        <w:rPr>
          <w:sz w:val="22"/>
          <w:szCs w:val="22"/>
        </w:rPr>
        <w:t>2</w:t>
      </w:r>
      <w:r w:rsidRPr="00AA113E">
        <w:rPr>
          <w:sz w:val="22"/>
          <w:szCs w:val="22"/>
        </w:rPr>
        <w:t xml:space="preserve">: </w:t>
      </w:r>
      <w:r w:rsidRPr="00C77767">
        <w:rPr>
          <w:sz w:val="22"/>
          <w:szCs w:val="22"/>
        </w:rPr>
        <w:t>Downside</w:t>
      </w:r>
      <w:r w:rsidR="00BC44D5">
        <w:rPr>
          <w:sz w:val="22"/>
          <w:szCs w:val="22"/>
        </w:rPr>
        <w:t xml:space="preserve"> deviation for the </w:t>
      </w:r>
      <w:r w:rsidRPr="006F12B8">
        <w:rPr>
          <w:sz w:val="22"/>
          <w:szCs w:val="22"/>
        </w:rPr>
        <w:t xml:space="preserve">accounting units </w:t>
      </w:r>
      <w:r w:rsidR="00BC44D5">
        <w:rPr>
          <w:sz w:val="22"/>
          <w:szCs w:val="22"/>
        </w:rPr>
        <w:t xml:space="preserve">returns </w:t>
      </w:r>
      <w:r w:rsidRPr="006F12B8">
        <w:rPr>
          <w:sz w:val="22"/>
          <w:szCs w:val="22"/>
        </w:rPr>
        <w:t>of the funds</w:t>
      </w:r>
      <w:r>
        <w:rPr>
          <w:sz w:val="22"/>
          <w:szCs w:val="22"/>
        </w:rPr>
        <w:t>.</w:t>
      </w:r>
    </w:p>
    <w:p w:rsidR="00A92F78" w:rsidRDefault="00A92F78" w:rsidP="006D6858">
      <w:pPr>
        <w:autoSpaceDE w:val="0"/>
        <w:autoSpaceDN w:val="0"/>
        <w:adjustRightInd w:val="0"/>
        <w:rPr>
          <w:noProof/>
          <w:szCs w:val="22"/>
          <w:lang w:eastAsia="mk-MK"/>
        </w:rPr>
      </w:pPr>
    </w:p>
    <w:p w:rsidR="00B66C11" w:rsidRDefault="00A92F78" w:rsidP="006D6858">
      <w:pPr>
        <w:autoSpaceDE w:val="0"/>
        <w:autoSpaceDN w:val="0"/>
        <w:adjustRightInd w:val="0"/>
        <w:rPr>
          <w:szCs w:val="22"/>
          <w:lang w:eastAsia="hr-HR"/>
        </w:rPr>
      </w:pPr>
      <w:r w:rsidRPr="00A92F78">
        <w:rPr>
          <w:noProof/>
          <w:szCs w:val="22"/>
          <w:lang w:val="mk-MK" w:eastAsia="mk-MK"/>
        </w:rPr>
        <w:drawing>
          <wp:inline distT="0" distB="0" distL="0" distR="0">
            <wp:extent cx="2824989" cy="172800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grayscl/>
                    </a:blip>
                    <a:srcRect/>
                    <a:stretch>
                      <a:fillRect/>
                    </a:stretch>
                  </pic:blipFill>
                  <pic:spPr bwMode="auto">
                    <a:xfrm>
                      <a:off x="0" y="0"/>
                      <a:ext cx="2824989" cy="1728000"/>
                    </a:xfrm>
                    <a:prstGeom prst="rect">
                      <a:avLst/>
                    </a:prstGeom>
                    <a:noFill/>
                    <a:ln w="9525">
                      <a:noFill/>
                      <a:miter lim="800000"/>
                      <a:headEnd/>
                      <a:tailEnd/>
                    </a:ln>
                  </pic:spPr>
                </pic:pic>
              </a:graphicData>
            </a:graphic>
          </wp:inline>
        </w:drawing>
      </w:r>
      <w:r w:rsidRPr="00A92F78">
        <w:rPr>
          <w:noProof/>
          <w:szCs w:val="22"/>
          <w:lang w:val="mk-MK" w:eastAsia="mk-MK"/>
        </w:rPr>
        <w:drawing>
          <wp:inline distT="0" distB="0" distL="0" distR="0">
            <wp:extent cx="2848865" cy="1728000"/>
            <wp:effectExtent l="19050" t="0" r="8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grayscl/>
                    </a:blip>
                    <a:srcRect/>
                    <a:stretch>
                      <a:fillRect/>
                    </a:stretch>
                  </pic:blipFill>
                  <pic:spPr bwMode="auto">
                    <a:xfrm>
                      <a:off x="0" y="0"/>
                      <a:ext cx="2848865" cy="1728000"/>
                    </a:xfrm>
                    <a:prstGeom prst="rect">
                      <a:avLst/>
                    </a:prstGeom>
                    <a:noFill/>
                    <a:ln w="9525">
                      <a:noFill/>
                      <a:miter lim="800000"/>
                      <a:headEnd/>
                      <a:tailEnd/>
                    </a:ln>
                  </pic:spPr>
                </pic:pic>
              </a:graphicData>
            </a:graphic>
          </wp:inline>
        </w:drawing>
      </w:r>
    </w:p>
    <w:p w:rsidR="00A92F78" w:rsidRDefault="00A92F78" w:rsidP="006D6858">
      <w:pPr>
        <w:autoSpaceDE w:val="0"/>
        <w:autoSpaceDN w:val="0"/>
        <w:adjustRightInd w:val="0"/>
        <w:rPr>
          <w:szCs w:val="22"/>
          <w:lang w:eastAsia="hr-HR"/>
        </w:rPr>
      </w:pPr>
      <w:r w:rsidRPr="00A92F78">
        <w:rPr>
          <w:noProof/>
          <w:szCs w:val="22"/>
          <w:lang w:val="mk-MK" w:eastAsia="mk-MK"/>
        </w:rPr>
        <w:lastRenderedPageBreak/>
        <w:drawing>
          <wp:inline distT="0" distB="0" distL="0" distR="0">
            <wp:extent cx="2837656" cy="1728000"/>
            <wp:effectExtent l="19050" t="0" r="794"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grayscl/>
                    </a:blip>
                    <a:srcRect/>
                    <a:stretch>
                      <a:fillRect/>
                    </a:stretch>
                  </pic:blipFill>
                  <pic:spPr bwMode="auto">
                    <a:xfrm>
                      <a:off x="0" y="0"/>
                      <a:ext cx="2837656" cy="1728000"/>
                    </a:xfrm>
                    <a:prstGeom prst="rect">
                      <a:avLst/>
                    </a:prstGeom>
                    <a:noFill/>
                    <a:ln w="9525">
                      <a:noFill/>
                      <a:miter lim="800000"/>
                      <a:headEnd/>
                      <a:tailEnd/>
                    </a:ln>
                  </pic:spPr>
                </pic:pic>
              </a:graphicData>
            </a:graphic>
          </wp:inline>
        </w:drawing>
      </w:r>
      <w:r w:rsidRPr="00A92F78">
        <w:rPr>
          <w:noProof/>
          <w:szCs w:val="22"/>
          <w:lang w:val="mk-MK" w:eastAsia="mk-MK"/>
        </w:rPr>
        <w:drawing>
          <wp:inline distT="0" distB="0" distL="0" distR="0">
            <wp:extent cx="2837656" cy="1728000"/>
            <wp:effectExtent l="19050" t="0" r="794"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grayscl/>
                    </a:blip>
                    <a:srcRect/>
                    <a:stretch>
                      <a:fillRect/>
                    </a:stretch>
                  </pic:blipFill>
                  <pic:spPr bwMode="auto">
                    <a:xfrm>
                      <a:off x="0" y="0"/>
                      <a:ext cx="2837656" cy="1728000"/>
                    </a:xfrm>
                    <a:prstGeom prst="rect">
                      <a:avLst/>
                    </a:prstGeom>
                    <a:noFill/>
                    <a:ln w="9525">
                      <a:noFill/>
                      <a:miter lim="800000"/>
                      <a:headEnd/>
                      <a:tailEnd/>
                    </a:ln>
                  </pic:spPr>
                </pic:pic>
              </a:graphicData>
            </a:graphic>
          </wp:inline>
        </w:drawing>
      </w:r>
    </w:p>
    <w:p w:rsidR="00A92F78" w:rsidRDefault="00A92F78" w:rsidP="006D6858">
      <w:pPr>
        <w:autoSpaceDE w:val="0"/>
        <w:autoSpaceDN w:val="0"/>
        <w:adjustRightInd w:val="0"/>
        <w:rPr>
          <w:szCs w:val="22"/>
          <w:lang w:eastAsia="hr-HR"/>
        </w:rPr>
      </w:pPr>
      <w:r w:rsidRPr="00A92F78">
        <w:rPr>
          <w:noProof/>
          <w:szCs w:val="22"/>
          <w:lang w:val="mk-MK" w:eastAsia="mk-MK"/>
        </w:rPr>
        <w:drawing>
          <wp:inline distT="0" distB="0" distL="0" distR="0">
            <wp:extent cx="2837656" cy="1728000"/>
            <wp:effectExtent l="19050" t="0" r="794"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grayscl/>
                    </a:blip>
                    <a:srcRect/>
                    <a:stretch>
                      <a:fillRect/>
                    </a:stretch>
                  </pic:blipFill>
                  <pic:spPr bwMode="auto">
                    <a:xfrm>
                      <a:off x="0" y="0"/>
                      <a:ext cx="2837656" cy="1728000"/>
                    </a:xfrm>
                    <a:prstGeom prst="rect">
                      <a:avLst/>
                    </a:prstGeom>
                    <a:noFill/>
                    <a:ln w="9525">
                      <a:noFill/>
                      <a:miter lim="800000"/>
                      <a:headEnd/>
                      <a:tailEnd/>
                    </a:ln>
                  </pic:spPr>
                </pic:pic>
              </a:graphicData>
            </a:graphic>
          </wp:inline>
        </w:drawing>
      </w:r>
      <w:r w:rsidRPr="00A92F78">
        <w:rPr>
          <w:noProof/>
          <w:szCs w:val="22"/>
          <w:lang w:val="mk-MK" w:eastAsia="mk-MK"/>
        </w:rPr>
        <w:drawing>
          <wp:inline distT="0" distB="0" distL="0" distR="0">
            <wp:extent cx="2837656" cy="1728000"/>
            <wp:effectExtent l="19050" t="0" r="794"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grayscl/>
                    </a:blip>
                    <a:srcRect/>
                    <a:stretch>
                      <a:fillRect/>
                    </a:stretch>
                  </pic:blipFill>
                  <pic:spPr bwMode="auto">
                    <a:xfrm>
                      <a:off x="0" y="0"/>
                      <a:ext cx="2837656" cy="1728000"/>
                    </a:xfrm>
                    <a:prstGeom prst="rect">
                      <a:avLst/>
                    </a:prstGeom>
                    <a:noFill/>
                    <a:ln w="9525">
                      <a:noFill/>
                      <a:miter lim="800000"/>
                      <a:headEnd/>
                      <a:tailEnd/>
                    </a:ln>
                  </pic:spPr>
                </pic:pic>
              </a:graphicData>
            </a:graphic>
          </wp:inline>
        </w:drawing>
      </w:r>
    </w:p>
    <w:p w:rsidR="00A92F78" w:rsidRDefault="00A92F78" w:rsidP="006D6858">
      <w:pPr>
        <w:autoSpaceDE w:val="0"/>
        <w:autoSpaceDN w:val="0"/>
        <w:adjustRightInd w:val="0"/>
        <w:rPr>
          <w:szCs w:val="22"/>
          <w:lang w:eastAsia="hr-HR"/>
        </w:rPr>
      </w:pPr>
      <w:r w:rsidRPr="00A92F78">
        <w:rPr>
          <w:noProof/>
          <w:szCs w:val="22"/>
          <w:lang w:val="mk-MK" w:eastAsia="mk-MK"/>
        </w:rPr>
        <w:drawing>
          <wp:inline distT="0" distB="0" distL="0" distR="0">
            <wp:extent cx="2837656" cy="1728000"/>
            <wp:effectExtent l="19050" t="0" r="794"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grayscl/>
                    </a:blip>
                    <a:srcRect/>
                    <a:stretch>
                      <a:fillRect/>
                    </a:stretch>
                  </pic:blipFill>
                  <pic:spPr bwMode="auto">
                    <a:xfrm>
                      <a:off x="0" y="0"/>
                      <a:ext cx="2837656" cy="1728000"/>
                    </a:xfrm>
                    <a:prstGeom prst="rect">
                      <a:avLst/>
                    </a:prstGeom>
                    <a:noFill/>
                    <a:ln w="9525">
                      <a:noFill/>
                      <a:miter lim="800000"/>
                      <a:headEnd/>
                      <a:tailEnd/>
                    </a:ln>
                  </pic:spPr>
                </pic:pic>
              </a:graphicData>
            </a:graphic>
          </wp:inline>
        </w:drawing>
      </w:r>
      <w:r w:rsidRPr="00A92F78">
        <w:rPr>
          <w:noProof/>
          <w:szCs w:val="22"/>
          <w:lang w:val="mk-MK" w:eastAsia="mk-MK"/>
        </w:rPr>
        <w:drawing>
          <wp:inline distT="0" distB="0" distL="0" distR="0">
            <wp:extent cx="2837656" cy="1728000"/>
            <wp:effectExtent l="19050" t="0" r="794" b="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grayscl/>
                    </a:blip>
                    <a:srcRect/>
                    <a:stretch>
                      <a:fillRect/>
                    </a:stretch>
                  </pic:blipFill>
                  <pic:spPr bwMode="auto">
                    <a:xfrm>
                      <a:off x="0" y="0"/>
                      <a:ext cx="2837656" cy="1728000"/>
                    </a:xfrm>
                    <a:prstGeom prst="rect">
                      <a:avLst/>
                    </a:prstGeom>
                    <a:noFill/>
                    <a:ln w="9525">
                      <a:noFill/>
                      <a:miter lim="800000"/>
                      <a:headEnd/>
                      <a:tailEnd/>
                    </a:ln>
                  </pic:spPr>
                </pic:pic>
              </a:graphicData>
            </a:graphic>
          </wp:inline>
        </w:drawing>
      </w:r>
    </w:p>
    <w:p w:rsidR="00A92F78" w:rsidRDefault="00A92F78" w:rsidP="006D6858">
      <w:pPr>
        <w:autoSpaceDE w:val="0"/>
        <w:autoSpaceDN w:val="0"/>
        <w:adjustRightInd w:val="0"/>
        <w:rPr>
          <w:szCs w:val="22"/>
          <w:lang w:eastAsia="hr-HR"/>
        </w:rPr>
      </w:pPr>
      <w:r w:rsidRPr="00A92F78">
        <w:rPr>
          <w:noProof/>
          <w:szCs w:val="22"/>
          <w:lang w:val="mk-MK" w:eastAsia="mk-MK"/>
        </w:rPr>
        <w:drawing>
          <wp:inline distT="0" distB="0" distL="0" distR="0">
            <wp:extent cx="2837656" cy="1728000"/>
            <wp:effectExtent l="19050" t="0" r="794"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grayscl/>
                    </a:blip>
                    <a:srcRect/>
                    <a:stretch>
                      <a:fillRect/>
                    </a:stretch>
                  </pic:blipFill>
                  <pic:spPr bwMode="auto">
                    <a:xfrm>
                      <a:off x="0" y="0"/>
                      <a:ext cx="2837656" cy="1728000"/>
                    </a:xfrm>
                    <a:prstGeom prst="rect">
                      <a:avLst/>
                    </a:prstGeom>
                    <a:noFill/>
                    <a:ln w="9525">
                      <a:noFill/>
                      <a:miter lim="800000"/>
                      <a:headEnd/>
                      <a:tailEnd/>
                    </a:ln>
                  </pic:spPr>
                </pic:pic>
              </a:graphicData>
            </a:graphic>
          </wp:inline>
        </w:drawing>
      </w:r>
      <w:r w:rsidRPr="00A92F78">
        <w:rPr>
          <w:noProof/>
          <w:szCs w:val="22"/>
          <w:lang w:val="mk-MK" w:eastAsia="mk-MK"/>
        </w:rPr>
        <w:drawing>
          <wp:inline distT="0" distB="0" distL="0" distR="0">
            <wp:extent cx="2837656" cy="1728000"/>
            <wp:effectExtent l="19050" t="0" r="794" b="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grayscl/>
                    </a:blip>
                    <a:srcRect/>
                    <a:stretch>
                      <a:fillRect/>
                    </a:stretch>
                  </pic:blipFill>
                  <pic:spPr bwMode="auto">
                    <a:xfrm>
                      <a:off x="0" y="0"/>
                      <a:ext cx="2837656" cy="1728000"/>
                    </a:xfrm>
                    <a:prstGeom prst="rect">
                      <a:avLst/>
                    </a:prstGeom>
                    <a:noFill/>
                    <a:ln w="9525">
                      <a:noFill/>
                      <a:miter lim="800000"/>
                      <a:headEnd/>
                      <a:tailEnd/>
                    </a:ln>
                  </pic:spPr>
                </pic:pic>
              </a:graphicData>
            </a:graphic>
          </wp:inline>
        </w:drawing>
      </w:r>
    </w:p>
    <w:p w:rsidR="00C220FE" w:rsidRDefault="00A92F78" w:rsidP="00EE730E">
      <w:pPr>
        <w:autoSpaceDE w:val="0"/>
        <w:autoSpaceDN w:val="0"/>
        <w:adjustRightInd w:val="0"/>
        <w:jc w:val="center"/>
        <w:rPr>
          <w:szCs w:val="22"/>
          <w:lang w:eastAsia="hr-HR"/>
        </w:rPr>
      </w:pPr>
      <w:r w:rsidRPr="00A92F78">
        <w:rPr>
          <w:noProof/>
          <w:szCs w:val="22"/>
          <w:lang w:val="mk-MK" w:eastAsia="mk-MK"/>
        </w:rPr>
        <w:drawing>
          <wp:inline distT="0" distB="0" distL="0" distR="0">
            <wp:extent cx="2858205" cy="1728000"/>
            <wp:effectExtent l="19050" t="0" r="0" b="0"/>
            <wp:docPr id="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grayscl/>
                    </a:blip>
                    <a:srcRect/>
                    <a:stretch>
                      <a:fillRect/>
                    </a:stretch>
                  </pic:blipFill>
                  <pic:spPr bwMode="auto">
                    <a:xfrm>
                      <a:off x="0" y="0"/>
                      <a:ext cx="2858205" cy="1728000"/>
                    </a:xfrm>
                    <a:prstGeom prst="rect">
                      <a:avLst/>
                    </a:prstGeom>
                    <a:noFill/>
                    <a:ln w="9525">
                      <a:noFill/>
                      <a:miter lim="800000"/>
                      <a:headEnd/>
                      <a:tailEnd/>
                    </a:ln>
                  </pic:spPr>
                </pic:pic>
              </a:graphicData>
            </a:graphic>
          </wp:inline>
        </w:drawing>
      </w:r>
    </w:p>
    <w:p w:rsidR="006F12B8" w:rsidRDefault="0086693F" w:rsidP="002D0C31">
      <w:pPr>
        <w:pStyle w:val="BodyText"/>
        <w:spacing w:before="120"/>
        <w:ind w:left="1080" w:hanging="1080"/>
        <w:rPr>
          <w:b w:val="0"/>
          <w:sz w:val="22"/>
          <w:szCs w:val="22"/>
          <w:lang w:val="en-US"/>
        </w:rPr>
      </w:pPr>
      <w:bookmarkStart w:id="2" w:name="OLE_LINK1"/>
      <w:bookmarkStart w:id="3" w:name="OLE_LINK2"/>
      <w:r w:rsidRPr="00AA113E">
        <w:rPr>
          <w:b w:val="0"/>
          <w:sz w:val="22"/>
          <w:szCs w:val="22"/>
        </w:rPr>
        <w:t>Figure 1</w:t>
      </w:r>
      <w:r>
        <w:rPr>
          <w:b w:val="0"/>
          <w:sz w:val="22"/>
          <w:szCs w:val="22"/>
          <w:lang w:val="mk-MK"/>
        </w:rPr>
        <w:t>-1</w:t>
      </w:r>
      <w:r w:rsidR="002D0C31">
        <w:rPr>
          <w:b w:val="0"/>
          <w:sz w:val="22"/>
          <w:szCs w:val="22"/>
          <w:lang w:val="mk-MK"/>
        </w:rPr>
        <w:t>1</w:t>
      </w:r>
      <w:r w:rsidRPr="00AA113E">
        <w:rPr>
          <w:b w:val="0"/>
          <w:sz w:val="22"/>
          <w:szCs w:val="22"/>
          <w:lang w:val="hr-HR"/>
        </w:rPr>
        <w:t xml:space="preserve">: </w:t>
      </w:r>
      <w:r w:rsidR="006F12B8" w:rsidRPr="006F12B8">
        <w:rPr>
          <w:b w:val="0"/>
          <w:sz w:val="22"/>
          <w:szCs w:val="22"/>
          <w:lang w:val="mk-MK"/>
        </w:rPr>
        <w:t>Distribution of returns of the accounting units of investment and pension funds.</w:t>
      </w:r>
    </w:p>
    <w:bookmarkEnd w:id="2"/>
    <w:bookmarkEnd w:id="3"/>
    <w:p w:rsidR="00865222" w:rsidRDefault="00865222" w:rsidP="00865222">
      <w:pPr>
        <w:autoSpaceDE w:val="0"/>
        <w:autoSpaceDN w:val="0"/>
        <w:adjustRightInd w:val="0"/>
        <w:rPr>
          <w:lang w:eastAsia="hr-HR"/>
        </w:rPr>
      </w:pPr>
    </w:p>
    <w:p w:rsidR="00865222" w:rsidRDefault="00001951" w:rsidP="002D0C31">
      <w:pPr>
        <w:autoSpaceDE w:val="0"/>
        <w:autoSpaceDN w:val="0"/>
        <w:adjustRightInd w:val="0"/>
        <w:jc w:val="both"/>
        <w:rPr>
          <w:lang w:eastAsia="hr-HR"/>
        </w:rPr>
      </w:pPr>
      <w:r w:rsidRPr="00001951">
        <w:rPr>
          <w:lang w:eastAsia="hr-HR"/>
        </w:rPr>
        <w:t xml:space="preserve">However, in order to determine if the layout of analyzed returns has a distribution that is close to the shape of a normal distribution, it is necessary to conduct a statistical test for normality of the distribution shape. </w:t>
      </w:r>
      <w:r w:rsidR="00E1554C" w:rsidRPr="00E1554C">
        <w:rPr>
          <w:lang w:eastAsia="hr-HR"/>
        </w:rPr>
        <w:t>This test helps to determine the possibility that the expected future returns of the accounting units at the investment and pension funds will be in the framework of the normal layout of returns.</w:t>
      </w:r>
    </w:p>
    <w:p w:rsidR="00001951" w:rsidRDefault="00E96EA2" w:rsidP="002D0C31">
      <w:pPr>
        <w:autoSpaceDE w:val="0"/>
        <w:autoSpaceDN w:val="0"/>
        <w:adjustRightInd w:val="0"/>
        <w:jc w:val="both"/>
        <w:rPr>
          <w:lang w:eastAsia="hr-HR"/>
        </w:rPr>
      </w:pPr>
      <w:r>
        <w:rPr>
          <w:lang w:eastAsia="hr-HR"/>
        </w:rPr>
        <w:t>The Jarque – Bera test</w:t>
      </w:r>
      <w:r w:rsidR="00001951" w:rsidRPr="00001951">
        <w:rPr>
          <w:lang w:eastAsia="hr-HR"/>
        </w:rPr>
        <w:t xml:space="preserve"> (hereinafter referred to as JB test) as a test for normality of the di</w:t>
      </w:r>
      <w:r w:rsidR="008A6F63">
        <w:rPr>
          <w:lang w:eastAsia="hr-HR"/>
        </w:rPr>
        <w:t>stributions shape can determine</w:t>
      </w:r>
      <w:r w:rsidR="00001951" w:rsidRPr="00001951">
        <w:rPr>
          <w:lang w:eastAsia="hr-HR"/>
        </w:rPr>
        <w:t xml:space="preserve"> whether the distribution of returns by individual classes of instruments is with a normal distribution or not. The value of the JB test with significance level of 0.10 (confidence level of 90%) must not be greater than </w:t>
      </w:r>
      <w:proofErr w:type="gramStart"/>
      <w:r w:rsidR="00001951" w:rsidRPr="00001951">
        <w:rPr>
          <w:lang w:eastAsia="hr-HR"/>
        </w:rPr>
        <w:t>9.21,</w:t>
      </w:r>
      <w:proofErr w:type="gramEnd"/>
      <w:r w:rsidR="00001951" w:rsidRPr="00001951">
        <w:rPr>
          <w:lang w:eastAsia="hr-HR"/>
        </w:rPr>
        <w:t xml:space="preserve"> while the significance level of 0.05 (confidence level of 95%) must not be greater than 5.99. More frequently is used the test with significance coefficient of 0.05.</w:t>
      </w:r>
    </w:p>
    <w:p w:rsidR="00001951" w:rsidRPr="00001951" w:rsidRDefault="00001951" w:rsidP="00001951">
      <w:pPr>
        <w:autoSpaceDE w:val="0"/>
        <w:autoSpaceDN w:val="0"/>
        <w:adjustRightInd w:val="0"/>
        <w:rPr>
          <w:lang w:eastAsia="hr-HR"/>
        </w:rPr>
      </w:pPr>
    </w:p>
    <w:p w:rsidR="00865222" w:rsidRDefault="00001951" w:rsidP="00865222">
      <w:pPr>
        <w:autoSpaceDE w:val="0"/>
        <w:autoSpaceDN w:val="0"/>
        <w:adjustRightInd w:val="0"/>
        <w:jc w:val="center"/>
      </w:pPr>
      <w:r>
        <w:t>Test</w:t>
      </w:r>
      <w:r w:rsidR="00865222">
        <w:t xml:space="preserve"> JB=</w:t>
      </w:r>
      <m:oMath>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6</m:t>
                </m:r>
              </m:den>
            </m:f>
          </m:e>
        </m:d>
        <m:r>
          <w:rPr>
            <w:rFonts w:ascii="Cambria Math" w:hAnsi="Cambria Math"/>
          </w:rPr>
          <m:t>*</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coefficient of skewness</m:t>
                </m:r>
              </m:e>
              <m:sup>
                <m:r>
                  <w:rPr>
                    <w:rFonts w:ascii="Cambria Math" w:hAnsi="Cambria Math"/>
                  </w:rPr>
                  <m:t>2</m:t>
                </m:r>
              </m:sup>
            </m:sSup>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coefficient of kurtosis</m:t>
                    </m:r>
                  </m:e>
                  <m:sup>
                    <m:r>
                      <w:rPr>
                        <w:rFonts w:ascii="Cambria Math" w:hAnsi="Cambria Math"/>
                      </w:rPr>
                      <m:t>2</m:t>
                    </m:r>
                  </m:sup>
                </m:sSup>
              </m:num>
              <m:den>
                <m:r>
                  <w:rPr>
                    <w:rFonts w:ascii="Cambria Math" w:hAnsi="Cambria Math"/>
                  </w:rPr>
                  <m:t>4</m:t>
                </m:r>
              </m:den>
            </m:f>
          </m:e>
        </m:d>
      </m:oMath>
    </w:p>
    <w:p w:rsidR="00865222" w:rsidRDefault="00865222" w:rsidP="00865222">
      <w:pPr>
        <w:autoSpaceDE w:val="0"/>
        <w:autoSpaceDN w:val="0"/>
        <w:adjustRightInd w:val="0"/>
        <w:jc w:val="center"/>
      </w:pPr>
    </w:p>
    <w:p w:rsidR="00865222" w:rsidRDefault="00865222" w:rsidP="00865222">
      <w:pPr>
        <w:autoSpaceDE w:val="0"/>
        <w:autoSpaceDN w:val="0"/>
        <w:adjustRightInd w:val="0"/>
        <w:jc w:val="center"/>
        <w:rPr>
          <w:lang w:eastAsia="hr-HR"/>
        </w:rPr>
      </w:pPr>
      <w:r w:rsidRPr="00865222">
        <w:rPr>
          <w:noProof/>
          <w:lang w:val="mk-MK" w:eastAsia="mk-MK"/>
        </w:rPr>
        <w:drawing>
          <wp:inline distT="0" distB="0" distL="0" distR="0">
            <wp:extent cx="5759450" cy="523586"/>
            <wp:effectExtent l="1905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grayscl/>
                    </a:blip>
                    <a:srcRect/>
                    <a:stretch>
                      <a:fillRect/>
                    </a:stretch>
                  </pic:blipFill>
                  <pic:spPr bwMode="auto">
                    <a:xfrm>
                      <a:off x="0" y="0"/>
                      <a:ext cx="5759450" cy="523586"/>
                    </a:xfrm>
                    <a:prstGeom prst="rect">
                      <a:avLst/>
                    </a:prstGeom>
                    <a:noFill/>
                    <a:ln w="9525">
                      <a:noFill/>
                      <a:miter lim="800000"/>
                      <a:headEnd/>
                      <a:tailEnd/>
                    </a:ln>
                  </pic:spPr>
                </pic:pic>
              </a:graphicData>
            </a:graphic>
          </wp:inline>
        </w:drawing>
      </w:r>
    </w:p>
    <w:p w:rsidR="00865222" w:rsidRDefault="00865222" w:rsidP="00865222">
      <w:pPr>
        <w:autoSpaceDE w:val="0"/>
        <w:autoSpaceDN w:val="0"/>
        <w:adjustRightInd w:val="0"/>
        <w:jc w:val="center"/>
        <w:rPr>
          <w:lang w:eastAsia="hr-HR"/>
        </w:rPr>
      </w:pPr>
    </w:p>
    <w:p w:rsidR="00865222" w:rsidRDefault="00865222" w:rsidP="00001951">
      <w:pPr>
        <w:pStyle w:val="BodyText"/>
        <w:ind w:left="770" w:hanging="784"/>
        <w:jc w:val="left"/>
        <w:rPr>
          <w:b w:val="0"/>
          <w:sz w:val="22"/>
          <w:szCs w:val="22"/>
        </w:rPr>
      </w:pPr>
      <w:r w:rsidRPr="00AA113E">
        <w:rPr>
          <w:b w:val="0"/>
          <w:sz w:val="22"/>
          <w:szCs w:val="22"/>
        </w:rPr>
        <w:t xml:space="preserve">Table </w:t>
      </w:r>
      <w:r w:rsidR="00C77767">
        <w:rPr>
          <w:b w:val="0"/>
          <w:sz w:val="22"/>
          <w:szCs w:val="22"/>
          <w:lang w:val="en-US"/>
        </w:rPr>
        <w:t>3</w:t>
      </w:r>
      <w:r w:rsidRPr="00AA113E">
        <w:rPr>
          <w:b w:val="0"/>
          <w:sz w:val="22"/>
          <w:szCs w:val="22"/>
        </w:rPr>
        <w:t xml:space="preserve">: </w:t>
      </w:r>
      <w:proofErr w:type="spellStart"/>
      <w:r w:rsidR="00001951" w:rsidRPr="00001951">
        <w:rPr>
          <w:b w:val="0"/>
          <w:sz w:val="22"/>
          <w:szCs w:val="22"/>
        </w:rPr>
        <w:t>Jarque</w:t>
      </w:r>
      <w:proofErr w:type="spellEnd"/>
      <w:r w:rsidR="00001951" w:rsidRPr="00001951">
        <w:rPr>
          <w:b w:val="0"/>
          <w:sz w:val="22"/>
          <w:szCs w:val="22"/>
        </w:rPr>
        <w:t xml:space="preserve"> </w:t>
      </w:r>
      <w:proofErr w:type="spellStart"/>
      <w:r w:rsidR="00001951" w:rsidRPr="00001951">
        <w:rPr>
          <w:b w:val="0"/>
          <w:sz w:val="22"/>
          <w:szCs w:val="22"/>
        </w:rPr>
        <w:t>Bera</w:t>
      </w:r>
      <w:proofErr w:type="spellEnd"/>
      <w:r w:rsidR="00001951" w:rsidRPr="00001951">
        <w:rPr>
          <w:b w:val="0"/>
          <w:sz w:val="22"/>
          <w:szCs w:val="22"/>
        </w:rPr>
        <w:t xml:space="preserve"> test for normal distribution of returns in the accounting units of the investment and pension funds</w:t>
      </w:r>
    </w:p>
    <w:p w:rsidR="00001951" w:rsidRDefault="00001951" w:rsidP="00001951">
      <w:pPr>
        <w:pStyle w:val="BodyText"/>
        <w:ind w:left="770" w:hanging="784"/>
        <w:jc w:val="left"/>
        <w:rPr>
          <w:lang w:eastAsia="hr-HR"/>
        </w:rPr>
      </w:pPr>
    </w:p>
    <w:p w:rsidR="00E96EA2" w:rsidRPr="00E96EA2" w:rsidRDefault="00001951" w:rsidP="00E96EA2">
      <w:pPr>
        <w:autoSpaceDE w:val="0"/>
        <w:autoSpaceDN w:val="0"/>
        <w:adjustRightInd w:val="0"/>
        <w:jc w:val="both"/>
        <w:rPr>
          <w:lang w:eastAsia="hr-HR"/>
        </w:rPr>
      </w:pPr>
      <w:r w:rsidRPr="00001951">
        <w:rPr>
          <w:lang w:eastAsia="hr-HR"/>
        </w:rPr>
        <w:t xml:space="preserve">From table </w:t>
      </w:r>
      <w:r w:rsidR="00C77767">
        <w:rPr>
          <w:lang w:eastAsia="hr-HR"/>
        </w:rPr>
        <w:t>3</w:t>
      </w:r>
      <w:r w:rsidRPr="00001951">
        <w:rPr>
          <w:lang w:eastAsia="hr-HR"/>
        </w:rPr>
        <w:t xml:space="preserve"> we can note that the JB test with significance level of 0.10 meets the layout returns at </w:t>
      </w:r>
      <w:proofErr w:type="spellStart"/>
      <w:r w:rsidRPr="00001951">
        <w:rPr>
          <w:lang w:eastAsia="hr-HR"/>
        </w:rPr>
        <w:t>Ilirika</w:t>
      </w:r>
      <w:proofErr w:type="spellEnd"/>
      <w:r w:rsidRPr="00001951">
        <w:rPr>
          <w:lang w:eastAsia="hr-HR"/>
        </w:rPr>
        <w:t xml:space="preserve"> Southeast Europe, </w:t>
      </w:r>
      <w:proofErr w:type="spellStart"/>
      <w:r w:rsidRPr="00001951">
        <w:rPr>
          <w:lang w:eastAsia="hr-HR"/>
        </w:rPr>
        <w:t>Innovo</w:t>
      </w:r>
      <w:proofErr w:type="spellEnd"/>
      <w:r w:rsidRPr="00001951">
        <w:rPr>
          <w:lang w:eastAsia="hr-HR"/>
        </w:rPr>
        <w:t xml:space="preserve"> Status </w:t>
      </w:r>
      <w:proofErr w:type="spellStart"/>
      <w:r w:rsidRPr="00001951">
        <w:rPr>
          <w:lang w:eastAsia="hr-HR"/>
        </w:rPr>
        <w:t>Akcii</w:t>
      </w:r>
      <w:proofErr w:type="spellEnd"/>
      <w:r w:rsidRPr="00001951">
        <w:rPr>
          <w:lang w:eastAsia="hr-HR"/>
        </w:rPr>
        <w:t xml:space="preserve">, KB Voluntary Pension Fund, KB </w:t>
      </w:r>
      <w:proofErr w:type="spellStart"/>
      <w:r w:rsidRPr="00001951">
        <w:rPr>
          <w:lang w:eastAsia="hr-HR"/>
        </w:rPr>
        <w:t>Publikum</w:t>
      </w:r>
      <w:proofErr w:type="spellEnd"/>
      <w:r w:rsidRPr="00001951">
        <w:rPr>
          <w:lang w:eastAsia="hr-HR"/>
        </w:rPr>
        <w:t xml:space="preserve"> - Bonds, KD BRIC, NLB </w:t>
      </w:r>
      <w:proofErr w:type="spellStart"/>
      <w:r w:rsidRPr="00001951">
        <w:rPr>
          <w:lang w:eastAsia="hr-HR"/>
        </w:rPr>
        <w:t>Penzija</w:t>
      </w:r>
      <w:proofErr w:type="spellEnd"/>
      <w:r w:rsidRPr="00001951">
        <w:rPr>
          <w:lang w:eastAsia="hr-HR"/>
        </w:rPr>
        <w:t xml:space="preserve"> plus, NLB Nov </w:t>
      </w:r>
      <w:proofErr w:type="spellStart"/>
      <w:r w:rsidRPr="00001951">
        <w:rPr>
          <w:lang w:eastAsia="hr-HR"/>
        </w:rPr>
        <w:t>Penziski</w:t>
      </w:r>
      <w:proofErr w:type="spellEnd"/>
      <w:r w:rsidRPr="00001951">
        <w:rPr>
          <w:lang w:eastAsia="hr-HR"/>
        </w:rPr>
        <w:t xml:space="preserve"> Fond. Therefore relevant conclusions about the layout of future returns by generating a span of possible expectations of returns using standard deviation as a measure of mathematical prediction can be expected in the said investment and pension funds. For the returns of the funds: </w:t>
      </w:r>
      <w:proofErr w:type="spellStart"/>
      <w:r w:rsidRPr="00001951">
        <w:rPr>
          <w:lang w:eastAsia="hr-HR"/>
        </w:rPr>
        <w:t>lirika</w:t>
      </w:r>
      <w:proofErr w:type="spellEnd"/>
      <w:r w:rsidRPr="00001951">
        <w:rPr>
          <w:lang w:eastAsia="hr-HR"/>
        </w:rPr>
        <w:t xml:space="preserve"> Global, KB Mandatory Pension Fund, KB </w:t>
      </w:r>
      <w:proofErr w:type="spellStart"/>
      <w:r w:rsidRPr="00001951">
        <w:rPr>
          <w:lang w:eastAsia="hr-HR"/>
        </w:rPr>
        <w:t>Publikum</w:t>
      </w:r>
      <w:proofErr w:type="spellEnd"/>
      <w:r w:rsidRPr="00001951">
        <w:rPr>
          <w:lang w:eastAsia="hr-HR"/>
        </w:rPr>
        <w:t xml:space="preserve"> - Balanced, KD South Balkan, mathematical measures for predicting with standard deviation should be taken with caution.</w:t>
      </w:r>
    </w:p>
    <w:p w:rsidR="00E96EA2" w:rsidRDefault="00E96EA2" w:rsidP="00E96EA2">
      <w:pPr>
        <w:autoSpaceDE w:val="0"/>
        <w:autoSpaceDN w:val="0"/>
        <w:adjustRightInd w:val="0"/>
        <w:jc w:val="both"/>
        <w:rPr>
          <w:lang w:eastAsia="hr-HR"/>
        </w:rPr>
      </w:pPr>
      <w:r w:rsidRPr="006F12B8">
        <w:rPr>
          <w:lang w:eastAsia="hr-HR"/>
        </w:rPr>
        <w:t>In order to predict future returns we can generate a range of probabilities using the standard deviation as a mathematical measure for predictions of returns and to appropriately generate the possible span of expected returns from the accounting units of the investment and pension funds.</w:t>
      </w:r>
    </w:p>
    <w:p w:rsidR="00E96EA2" w:rsidRDefault="00E96EA2" w:rsidP="00E96EA2">
      <w:pPr>
        <w:autoSpaceDE w:val="0"/>
        <w:autoSpaceDN w:val="0"/>
        <w:adjustRightInd w:val="0"/>
        <w:rPr>
          <w:lang w:eastAsia="hr-HR"/>
        </w:rPr>
      </w:pPr>
      <w:r w:rsidRPr="0044240E">
        <w:rPr>
          <w:noProof/>
          <w:lang w:val="mk-MK" w:eastAsia="mk-MK"/>
        </w:rPr>
        <w:drawing>
          <wp:inline distT="0" distB="0" distL="0" distR="0">
            <wp:extent cx="5759450" cy="1270145"/>
            <wp:effectExtent l="1905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grayscl/>
                    </a:blip>
                    <a:srcRect/>
                    <a:stretch>
                      <a:fillRect/>
                    </a:stretch>
                  </pic:blipFill>
                  <pic:spPr bwMode="auto">
                    <a:xfrm>
                      <a:off x="0" y="0"/>
                      <a:ext cx="5759450" cy="1270145"/>
                    </a:xfrm>
                    <a:prstGeom prst="rect">
                      <a:avLst/>
                    </a:prstGeom>
                    <a:noFill/>
                    <a:ln w="9525">
                      <a:noFill/>
                      <a:miter lim="800000"/>
                      <a:headEnd/>
                      <a:tailEnd/>
                    </a:ln>
                  </pic:spPr>
                </pic:pic>
              </a:graphicData>
            </a:graphic>
          </wp:inline>
        </w:drawing>
      </w:r>
      <w:r w:rsidRPr="0044240E">
        <w:rPr>
          <w:lang w:eastAsia="hr-HR"/>
        </w:rPr>
        <w:t xml:space="preserve">  </w:t>
      </w:r>
    </w:p>
    <w:p w:rsidR="00E96EA2" w:rsidRDefault="00E96EA2" w:rsidP="00E96EA2">
      <w:pPr>
        <w:pStyle w:val="BodyText"/>
        <w:ind w:left="770" w:hanging="784"/>
        <w:jc w:val="left"/>
        <w:rPr>
          <w:b w:val="0"/>
          <w:sz w:val="22"/>
          <w:szCs w:val="22"/>
        </w:rPr>
      </w:pPr>
      <w:r w:rsidRPr="00AA113E">
        <w:rPr>
          <w:b w:val="0"/>
          <w:sz w:val="22"/>
          <w:szCs w:val="22"/>
        </w:rPr>
        <w:t xml:space="preserve">Table </w:t>
      </w:r>
      <w:r w:rsidR="00C77767">
        <w:rPr>
          <w:b w:val="0"/>
          <w:sz w:val="22"/>
          <w:szCs w:val="22"/>
          <w:lang w:val="en-US"/>
        </w:rPr>
        <w:t>4</w:t>
      </w:r>
      <w:r w:rsidRPr="00AA113E">
        <w:rPr>
          <w:b w:val="0"/>
          <w:sz w:val="22"/>
          <w:szCs w:val="22"/>
        </w:rPr>
        <w:t xml:space="preserve">: </w:t>
      </w:r>
      <w:r w:rsidRPr="006F12B8">
        <w:rPr>
          <w:b w:val="0"/>
          <w:sz w:val="22"/>
          <w:szCs w:val="22"/>
        </w:rPr>
        <w:t>Layout of returns from the accounting units of the investment and pension funds within the framework of 1</w:t>
      </w:r>
      <w:proofErr w:type="gramStart"/>
      <w:r w:rsidRPr="006F12B8">
        <w:rPr>
          <w:b w:val="0"/>
          <w:sz w:val="22"/>
          <w:szCs w:val="22"/>
        </w:rPr>
        <w:t>,2</w:t>
      </w:r>
      <w:proofErr w:type="gramEnd"/>
      <w:r w:rsidRPr="006F12B8">
        <w:rPr>
          <w:b w:val="0"/>
          <w:sz w:val="22"/>
          <w:szCs w:val="22"/>
        </w:rPr>
        <w:t xml:space="preserve"> and 3 standard deviations</w:t>
      </w:r>
    </w:p>
    <w:p w:rsidR="00E96EA2" w:rsidRPr="00E96EA2" w:rsidRDefault="00E96EA2" w:rsidP="00AC1B5E">
      <w:pPr>
        <w:pStyle w:val="BodyText"/>
        <w:ind w:left="770" w:hanging="784"/>
        <w:jc w:val="left"/>
        <w:rPr>
          <w:b w:val="0"/>
          <w:sz w:val="22"/>
          <w:szCs w:val="22"/>
          <w:lang w:val="en-US"/>
        </w:rPr>
      </w:pPr>
      <w:r>
        <w:rPr>
          <w:b w:val="0"/>
          <w:sz w:val="22"/>
          <w:szCs w:val="22"/>
          <w:lang w:val="en-US"/>
        </w:rPr>
        <w:tab/>
      </w:r>
    </w:p>
    <w:p w:rsidR="00E96EA2" w:rsidRPr="00B017B6" w:rsidRDefault="00E96EA2" w:rsidP="00E96EA2">
      <w:pPr>
        <w:autoSpaceDE w:val="0"/>
        <w:autoSpaceDN w:val="0"/>
        <w:adjustRightInd w:val="0"/>
        <w:jc w:val="both"/>
        <w:rPr>
          <w:lang w:eastAsia="hr-HR"/>
        </w:rPr>
      </w:pPr>
      <w:r w:rsidRPr="00B017B6">
        <w:rPr>
          <w:lang w:eastAsia="hr-HR"/>
        </w:rPr>
        <w:t xml:space="preserve">That would be the case if we base the assumptions on standard normal layout. Considering that in this case we do not have a standard normal layout we can apply the equation of </w:t>
      </w:r>
      <w:proofErr w:type="spellStart"/>
      <w:r w:rsidRPr="00B017B6">
        <w:rPr>
          <w:lang w:eastAsia="hr-HR"/>
        </w:rPr>
        <w:t>Chebyishev’s</w:t>
      </w:r>
      <w:proofErr w:type="spellEnd"/>
      <w:r w:rsidRPr="00B017B6">
        <w:rPr>
          <w:lang w:eastAsia="hr-HR"/>
        </w:rPr>
        <w:t xml:space="preserve"> Inequality which states that in any set of observations, whether the shape of the distribution is with a normal layout or not, the percentage of observations that lies within k standard deviations is 1-1 / k ^ 2 for each k&gt; 1. In the case of a 2 standard deviation the range </w:t>
      </w:r>
      <w:r w:rsidRPr="00B017B6">
        <w:rPr>
          <w:lang w:eastAsia="hr-HR"/>
        </w:rPr>
        <w:lastRenderedPageBreak/>
        <w:t>is within 75% of the cases around the arithmetic mean or the expected return. In the case of 3 standard deviations we have 89% of the cases.</w:t>
      </w:r>
    </w:p>
    <w:p w:rsidR="00E96EA2" w:rsidRDefault="00E96EA2" w:rsidP="00E96EA2">
      <w:pPr>
        <w:pStyle w:val="BodyText"/>
        <w:ind w:left="770" w:hanging="784"/>
        <w:jc w:val="left"/>
        <w:rPr>
          <w:szCs w:val="22"/>
          <w:lang w:val="mk-MK" w:eastAsia="hr-HR"/>
        </w:rPr>
      </w:pPr>
      <w:r w:rsidRPr="00F8553D">
        <w:rPr>
          <w:noProof/>
          <w:szCs w:val="22"/>
          <w:lang w:val="mk-MK" w:eastAsia="mk-MK"/>
        </w:rPr>
        <w:drawing>
          <wp:inline distT="0" distB="0" distL="0" distR="0">
            <wp:extent cx="3953933" cy="1656000"/>
            <wp:effectExtent l="19050" t="0" r="0"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grayscl/>
                    </a:blip>
                    <a:srcRect/>
                    <a:stretch>
                      <a:fillRect/>
                    </a:stretch>
                  </pic:blipFill>
                  <pic:spPr bwMode="auto">
                    <a:xfrm>
                      <a:off x="0" y="0"/>
                      <a:ext cx="3953933" cy="1656000"/>
                    </a:xfrm>
                    <a:prstGeom prst="rect">
                      <a:avLst/>
                    </a:prstGeom>
                    <a:noFill/>
                    <a:ln w="9525">
                      <a:noFill/>
                      <a:miter lim="800000"/>
                      <a:headEnd/>
                      <a:tailEnd/>
                    </a:ln>
                  </pic:spPr>
                </pic:pic>
              </a:graphicData>
            </a:graphic>
          </wp:inline>
        </w:drawing>
      </w:r>
    </w:p>
    <w:p w:rsidR="00E96EA2" w:rsidRDefault="00E96EA2" w:rsidP="00E96EA2">
      <w:pPr>
        <w:pStyle w:val="BodyText"/>
        <w:jc w:val="left"/>
        <w:rPr>
          <w:b w:val="0"/>
          <w:sz w:val="22"/>
          <w:szCs w:val="22"/>
          <w:lang w:val="mk-MK"/>
        </w:rPr>
      </w:pPr>
    </w:p>
    <w:p w:rsidR="00E96EA2" w:rsidRDefault="00E96EA2" w:rsidP="00E96EA2">
      <w:pPr>
        <w:pStyle w:val="BodyText"/>
        <w:jc w:val="left"/>
        <w:rPr>
          <w:b w:val="0"/>
          <w:sz w:val="22"/>
          <w:szCs w:val="22"/>
        </w:rPr>
      </w:pPr>
      <w:proofErr w:type="gramStart"/>
      <w:r w:rsidRPr="00AA113E">
        <w:rPr>
          <w:b w:val="0"/>
          <w:sz w:val="22"/>
          <w:szCs w:val="22"/>
        </w:rPr>
        <w:t xml:space="preserve">Table </w:t>
      </w:r>
      <w:r w:rsidR="00C77767">
        <w:rPr>
          <w:b w:val="0"/>
          <w:sz w:val="22"/>
          <w:szCs w:val="22"/>
          <w:lang w:val="en-US"/>
        </w:rPr>
        <w:t>5</w:t>
      </w:r>
      <w:r w:rsidRPr="00AA113E">
        <w:rPr>
          <w:b w:val="0"/>
          <w:sz w:val="22"/>
          <w:szCs w:val="22"/>
        </w:rPr>
        <w:t xml:space="preserve">: </w:t>
      </w:r>
      <w:r>
        <w:rPr>
          <w:b w:val="0"/>
          <w:sz w:val="22"/>
          <w:szCs w:val="22"/>
        </w:rPr>
        <w:t xml:space="preserve"> </w:t>
      </w:r>
      <w:r w:rsidRPr="00B017B6">
        <w:rPr>
          <w:b w:val="0"/>
          <w:sz w:val="22"/>
          <w:szCs w:val="22"/>
        </w:rPr>
        <w:t xml:space="preserve">Layout of returns within 2 and 3 standard deviations from the accounting units of investment and pension funds according the </w:t>
      </w:r>
      <w:proofErr w:type="spellStart"/>
      <w:r w:rsidRPr="00B017B6">
        <w:rPr>
          <w:b w:val="0"/>
          <w:sz w:val="22"/>
          <w:szCs w:val="22"/>
        </w:rPr>
        <w:t>Chebyshev’s</w:t>
      </w:r>
      <w:proofErr w:type="spellEnd"/>
      <w:r w:rsidRPr="00B017B6">
        <w:rPr>
          <w:b w:val="0"/>
          <w:sz w:val="22"/>
          <w:szCs w:val="22"/>
        </w:rPr>
        <w:t xml:space="preserve"> equation for the absence of normal schedule of distribution.</w:t>
      </w:r>
      <w:proofErr w:type="gramEnd"/>
    </w:p>
    <w:p w:rsidR="00E96EA2" w:rsidRDefault="00E96EA2" w:rsidP="002D0C31">
      <w:pPr>
        <w:autoSpaceDE w:val="0"/>
        <w:autoSpaceDN w:val="0"/>
        <w:adjustRightInd w:val="0"/>
        <w:jc w:val="both"/>
        <w:rPr>
          <w:lang w:eastAsia="hr-HR"/>
        </w:rPr>
      </w:pPr>
    </w:p>
    <w:p w:rsidR="00B017B6" w:rsidRPr="00B017B6" w:rsidRDefault="00B017B6" w:rsidP="002D0C31">
      <w:pPr>
        <w:autoSpaceDE w:val="0"/>
        <w:autoSpaceDN w:val="0"/>
        <w:adjustRightInd w:val="0"/>
        <w:jc w:val="both"/>
        <w:rPr>
          <w:lang w:eastAsia="hr-HR"/>
        </w:rPr>
      </w:pPr>
      <w:r w:rsidRPr="00B017B6">
        <w:rPr>
          <w:lang w:eastAsia="hr-HR"/>
        </w:rPr>
        <w:t xml:space="preserve">In order to determine how much do the data deviate from the so-called normal layout it is necessary to make calculations of the moments of dispersion. The programming package MS Excel calculates the coefficient of </w:t>
      </w:r>
      <w:proofErr w:type="spellStart"/>
      <w:r w:rsidRPr="00B017B6">
        <w:rPr>
          <w:lang w:eastAsia="hr-HR"/>
        </w:rPr>
        <w:t>skewness</w:t>
      </w:r>
      <w:proofErr w:type="spellEnd"/>
      <w:r w:rsidRPr="00B017B6">
        <w:rPr>
          <w:lang w:eastAsia="hr-HR"/>
        </w:rPr>
        <w:t xml:space="preserve"> and the coefficient of kurtosis according to equation </w:t>
      </w:r>
      <w:r>
        <w:rPr>
          <w:lang w:eastAsia="hr-HR"/>
        </w:rPr>
        <w:t>(</w:t>
      </w:r>
      <w:r w:rsidRPr="00B017B6">
        <w:rPr>
          <w:lang w:eastAsia="hr-HR"/>
        </w:rPr>
        <w:t>1</w:t>
      </w:r>
      <w:r>
        <w:rPr>
          <w:lang w:eastAsia="hr-HR"/>
        </w:rPr>
        <w:t>)</w:t>
      </w:r>
      <w:r w:rsidRPr="00B017B6">
        <w:rPr>
          <w:lang w:eastAsia="hr-HR"/>
        </w:rPr>
        <w:t xml:space="preserve"> and </w:t>
      </w:r>
      <w:r>
        <w:rPr>
          <w:lang w:eastAsia="hr-HR"/>
        </w:rPr>
        <w:t>(</w:t>
      </w:r>
      <w:r w:rsidRPr="00B017B6">
        <w:rPr>
          <w:lang w:eastAsia="hr-HR"/>
        </w:rPr>
        <w:t>2</w:t>
      </w:r>
      <w:r>
        <w:rPr>
          <w:lang w:eastAsia="hr-HR"/>
        </w:rPr>
        <w:t>)</w:t>
      </w:r>
      <w:r w:rsidRPr="00B017B6">
        <w:rPr>
          <w:lang w:eastAsia="hr-HR"/>
        </w:rPr>
        <w:t>.</w:t>
      </w:r>
    </w:p>
    <w:p w:rsidR="008D1470" w:rsidRDefault="008D1470" w:rsidP="008D1470">
      <w:pPr>
        <w:jc w:val="center"/>
      </w:pPr>
      <w:r w:rsidRPr="008D1470">
        <w:t xml:space="preserve">Adjusted </w:t>
      </w:r>
      <w:proofErr w:type="spellStart"/>
      <w:r w:rsidRPr="008D1470">
        <w:t>Skewness</w:t>
      </w:r>
      <w:proofErr w:type="spellEnd"/>
      <w:r w:rsidRPr="008D1470">
        <w:t xml:space="preserve"> = </w:t>
      </w:r>
      <m:oMath>
        <m:f>
          <m:fPr>
            <m:ctrlPr>
              <w:rPr>
                <w:rFonts w:ascii="Cambria Math" w:hAnsi="Cambria Math"/>
                <w:i/>
              </w:rPr>
            </m:ctrlPr>
          </m:fPr>
          <m:num>
            <m:r>
              <w:rPr>
                <w:rFonts w:ascii="Cambria Math" w:hAnsi="Cambria Math"/>
              </w:rPr>
              <m:t>n</m:t>
            </m:r>
          </m:num>
          <m:den>
            <m:d>
              <m:dPr>
                <m:ctrlPr>
                  <w:rPr>
                    <w:rFonts w:ascii="Cambria Math" w:hAnsi="Cambria Math"/>
                    <w:i/>
                  </w:rPr>
                </m:ctrlPr>
              </m:dPr>
              <m:e>
                <m:r>
                  <w:rPr>
                    <w:rFonts w:ascii="Cambria Math" w:hAnsi="Cambria Math"/>
                  </w:rPr>
                  <m:t>n</m:t>
                </m:r>
                <m:r>
                  <w:rPr>
                    <w:rFonts w:ascii="Arial"/>
                  </w:rPr>
                  <m:t>-</m:t>
                </m:r>
                <m:r>
                  <w:rPr>
                    <w:rFonts w:ascii="Cambria Math"/>
                  </w:rPr>
                  <m:t>1</m:t>
                </m:r>
              </m:e>
            </m:d>
            <m:d>
              <m:dPr>
                <m:ctrlPr>
                  <w:rPr>
                    <w:rFonts w:ascii="Cambria Math" w:hAnsi="Cambria Math"/>
                    <w:i/>
                  </w:rPr>
                </m:ctrlPr>
              </m:dPr>
              <m:e>
                <m:r>
                  <w:rPr>
                    <w:rFonts w:ascii="Cambria Math" w:hAnsi="Cambria Math"/>
                  </w:rPr>
                  <m:t>n</m:t>
                </m:r>
                <m:r>
                  <w:rPr>
                    <w:rFonts w:ascii="Arial"/>
                  </w:rPr>
                  <m:t>-</m:t>
                </m:r>
                <m:r>
                  <w:rPr>
                    <w:rFonts w:ascii="Cambria Math"/>
                  </w:rPr>
                  <m:t>2</m:t>
                </m:r>
              </m:e>
            </m:d>
          </m:den>
        </m:f>
        <m:r>
          <w:rPr>
            <w:rFonts w:hAnsi="Cambria Math"/>
          </w:rPr>
          <m:t>*</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m:t>
                </m:r>
                <m:r>
                  <w:rPr>
                    <w:rFonts w:ascii="Cambria Math"/>
                  </w:rPr>
                  <m:t>=1</m:t>
                </m:r>
              </m:sub>
              <m:sup>
                <m:r>
                  <w:rPr>
                    <w:rFonts w:ascii="Cambria Math" w:hAnsi="Cambria Math"/>
                  </w:rPr>
                  <m:t>n</m:t>
                </m:r>
              </m:sup>
              <m:e>
                <m:sSup>
                  <m:sSupPr>
                    <m:ctrlPr>
                      <w:rPr>
                        <w:rFonts w:ascii="Cambria Math" w:hAnsi="Cambria Math"/>
                        <w:i/>
                      </w:rPr>
                    </m:ctrlPr>
                  </m:sSupPr>
                  <m:e>
                    <m:sSub>
                      <m:sSubPr>
                        <m:ctrlPr>
                          <w:rPr>
                            <w:rFonts w:ascii="Cambria Math" w:hAnsi="Cambria Math"/>
                            <w:i/>
                          </w:rPr>
                        </m:ctrlPr>
                      </m:sSubPr>
                      <m:e>
                        <m:r>
                          <w:rPr>
                            <w:rFonts w:ascii="Cambria Math"/>
                          </w:rPr>
                          <m:t>(</m:t>
                        </m:r>
                        <m:r>
                          <w:rPr>
                            <w:rFonts w:ascii="Cambria Math" w:hAnsi="Cambria Math"/>
                          </w:rPr>
                          <m:t>x</m:t>
                        </m:r>
                      </m:e>
                      <m:sub>
                        <m:r>
                          <w:rPr>
                            <w:rFonts w:ascii="Cambria Math" w:hAnsi="Cambria Math"/>
                          </w:rPr>
                          <m:t>i</m:t>
                        </m:r>
                      </m:sub>
                    </m:sSub>
                    <m:r>
                      <w:rPr>
                        <w:rFonts w:ascii="Arial"/>
                      </w:rPr>
                      <m:t>-</m:t>
                    </m:r>
                    <m:acc>
                      <m:accPr>
                        <m:chr m:val="̅"/>
                        <m:ctrlPr>
                          <w:rPr>
                            <w:rFonts w:ascii="Cambria Math" w:hAnsi="Cambria Math"/>
                            <w:i/>
                          </w:rPr>
                        </m:ctrlPr>
                      </m:accPr>
                      <m:e>
                        <m:r>
                          <w:rPr>
                            <w:rFonts w:ascii="Cambria Math" w:hAnsi="Cambria Math"/>
                          </w:rPr>
                          <m:t>x</m:t>
                        </m:r>
                        <m:r>
                          <w:rPr>
                            <w:rFonts w:ascii="Cambria Math"/>
                          </w:rPr>
                          <m:t>)</m:t>
                        </m:r>
                      </m:e>
                    </m:acc>
                  </m:e>
                  <m:sup>
                    <m:r>
                      <w:rPr>
                        <w:rFonts w:ascii="Cambria Math"/>
                      </w:rPr>
                      <m:t>3</m:t>
                    </m:r>
                  </m:sup>
                </m:sSup>
              </m:e>
            </m:nary>
          </m:num>
          <m:den>
            <m:sSup>
              <m:sSupPr>
                <m:ctrlPr>
                  <w:rPr>
                    <w:rFonts w:ascii="Cambria Math" w:hAnsi="Cambria Math"/>
                    <w:i/>
                  </w:rPr>
                </m:ctrlPr>
              </m:sSupPr>
              <m:e>
                <m:r>
                  <w:rPr>
                    <w:rFonts w:ascii="Cambria Math"/>
                  </w:rPr>
                  <m:t>(</m:t>
                </m:r>
                <m:sSup>
                  <m:sSupPr>
                    <m:ctrlPr>
                      <w:rPr>
                        <w:rFonts w:ascii="Cambria Math" w:hAnsi="Cambria Math"/>
                        <w:i/>
                      </w:rPr>
                    </m:ctrlPr>
                  </m:sSupPr>
                  <m:e>
                    <m:r>
                      <w:rPr>
                        <w:rFonts w:ascii="Cambria Math" w:hAnsi="Cambria Math"/>
                      </w:rPr>
                      <m:t>s</m:t>
                    </m:r>
                  </m:e>
                  <m:sup>
                    <m:r>
                      <w:rPr>
                        <w:rFonts w:ascii="Cambria Math"/>
                      </w:rPr>
                      <m:t>2</m:t>
                    </m:r>
                  </m:sup>
                </m:sSup>
                <m:r>
                  <w:rPr>
                    <w:rFonts w:ascii="Cambria Math"/>
                  </w:rPr>
                  <m:t>)</m:t>
                </m:r>
              </m:e>
              <m:sup>
                <m:f>
                  <m:fPr>
                    <m:type m:val="skw"/>
                    <m:ctrlPr>
                      <w:rPr>
                        <w:rFonts w:ascii="Cambria Math" w:hAnsi="Cambria Math"/>
                        <w:i/>
                      </w:rPr>
                    </m:ctrlPr>
                  </m:fPr>
                  <m:num>
                    <m:r>
                      <w:rPr>
                        <w:rFonts w:ascii="Cambria Math"/>
                      </w:rPr>
                      <m:t>3</m:t>
                    </m:r>
                  </m:num>
                  <m:den>
                    <m:r>
                      <w:rPr>
                        <w:rFonts w:ascii="Cambria Math"/>
                      </w:rPr>
                      <m:t>2</m:t>
                    </m:r>
                  </m:den>
                </m:f>
              </m:sup>
            </m:sSup>
          </m:den>
        </m:f>
      </m:oMath>
    </w:p>
    <w:p w:rsidR="008D1470" w:rsidRDefault="008D1470" w:rsidP="008D1470">
      <w:pPr>
        <w:jc w:val="center"/>
      </w:pPr>
      <w:r w:rsidRPr="008D1470">
        <w:t xml:space="preserve">Adjusted Kurtosis = </w:t>
      </w:r>
      <m:oMath>
        <m:f>
          <m:fPr>
            <m:ctrlPr>
              <w:rPr>
                <w:rFonts w:ascii="Cambria Math" w:hAnsi="Cambria Math"/>
                <w:i/>
              </w:rPr>
            </m:ctrlPr>
          </m:fPr>
          <m:num>
            <m:r>
              <w:rPr>
                <w:rFonts w:ascii="Cambria Math" w:hAnsi="Cambria Math"/>
              </w:rPr>
              <m:t>n</m:t>
            </m:r>
            <m:r>
              <w:rPr>
                <w:rFonts w:ascii="Cambria Math"/>
              </w:rPr>
              <m:t>(</m:t>
            </m:r>
            <m:r>
              <w:rPr>
                <w:rFonts w:ascii="Cambria Math" w:hAnsi="Cambria Math"/>
              </w:rPr>
              <m:t>n</m:t>
            </m:r>
            <m:r>
              <w:rPr>
                <w:rFonts w:ascii="Cambria Math"/>
              </w:rPr>
              <m:t>+1)</m:t>
            </m:r>
          </m:num>
          <m:den>
            <m:d>
              <m:dPr>
                <m:ctrlPr>
                  <w:rPr>
                    <w:rFonts w:ascii="Cambria Math" w:hAnsi="Cambria Math"/>
                    <w:i/>
                  </w:rPr>
                </m:ctrlPr>
              </m:dPr>
              <m:e>
                <m:r>
                  <w:rPr>
                    <w:rFonts w:ascii="Cambria Math" w:hAnsi="Cambria Math"/>
                  </w:rPr>
                  <m:t>n</m:t>
                </m:r>
                <m:r>
                  <w:rPr>
                    <w:rFonts w:ascii="Cambria Math"/>
                  </w:rPr>
                  <m:t>-</m:t>
                </m:r>
                <m:r>
                  <w:rPr>
                    <w:rFonts w:ascii="Cambria Math"/>
                  </w:rPr>
                  <m:t>1</m:t>
                </m:r>
              </m:e>
            </m:d>
            <m:d>
              <m:dPr>
                <m:ctrlPr>
                  <w:rPr>
                    <w:rFonts w:ascii="Cambria Math" w:hAnsi="Cambria Math"/>
                    <w:i/>
                  </w:rPr>
                </m:ctrlPr>
              </m:dPr>
              <m:e>
                <m:r>
                  <w:rPr>
                    <w:rFonts w:ascii="Cambria Math" w:hAnsi="Cambria Math"/>
                  </w:rPr>
                  <m:t>n</m:t>
                </m:r>
                <m:r>
                  <w:rPr>
                    <w:rFonts w:ascii="Cambria Math"/>
                  </w:rPr>
                  <m:t>-</m:t>
                </m:r>
                <m:r>
                  <w:rPr>
                    <w:rFonts w:ascii="Cambria Math"/>
                  </w:rPr>
                  <m:t>2</m:t>
                </m:r>
              </m:e>
            </m:d>
            <m:r>
              <w:rPr>
                <w:rFonts w:ascii="Cambria Math"/>
              </w:rPr>
              <m:t>(</m:t>
            </m:r>
            <m:r>
              <w:rPr>
                <w:rFonts w:ascii="Cambria Math" w:hAnsi="Cambria Math"/>
              </w:rPr>
              <m:t>n</m:t>
            </m:r>
            <m:r>
              <w:rPr>
                <w:rFonts w:ascii="Cambria Math"/>
              </w:rPr>
              <m:t>-</m:t>
            </m:r>
            <m:r>
              <w:rPr>
                <w:rFonts w:ascii="Cambria Math"/>
              </w:rPr>
              <m:t>3)</m:t>
            </m:r>
          </m:den>
        </m:f>
        <m:nary>
          <m:naryPr>
            <m:chr m:val="∑"/>
            <m:ctrlPr>
              <w:rPr>
                <w:rFonts w:ascii="Cambria Math" w:hAnsi="Cambria Math"/>
                <w:i/>
              </w:rPr>
            </m:ctrlPr>
          </m:naryPr>
          <m:sub>
            <m:r>
              <w:rPr>
                <w:rFonts w:ascii="Cambria Math" w:hAnsi="Cambria Math"/>
                <w:lang w:val="sl-SI"/>
              </w:rPr>
              <m:t>i</m:t>
            </m:r>
            <m:r>
              <w:rPr>
                <w:rFonts w:ascii="Cambria Math"/>
                <w:lang w:val="sl-SI"/>
              </w:rPr>
              <m:t>=0</m:t>
            </m:r>
          </m:sub>
          <m:sup>
            <m:r>
              <w:rPr>
                <w:rFonts w:ascii="Cambria Math" w:hAnsi="Cambria Math"/>
                <w:lang w:val="sl-SI"/>
              </w:rPr>
              <m:t>n</m:t>
            </m:r>
          </m:sup>
          <m:e>
            <m:r>
              <w:rPr>
                <w:rFonts w:ascii="Cambria Math"/>
              </w:rPr>
              <m:t>(</m:t>
            </m:r>
          </m:e>
        </m:nary>
        <m:sSup>
          <m:sSupPr>
            <m:ctrlPr>
              <w:rPr>
                <w:rFonts w:ascii="Cambria Math" w:hAnsi="Cambria Math"/>
                <w:i/>
              </w:rPr>
            </m:ctrlPr>
          </m:sSup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rPr>
                  <m:t>-</m:t>
                </m:r>
                <m:acc>
                  <m:accPr>
                    <m:chr m:val="̅"/>
                    <m:ctrlPr>
                      <w:rPr>
                        <w:rFonts w:ascii="Cambria Math" w:hAnsi="Cambria Math"/>
                        <w:i/>
                      </w:rPr>
                    </m:ctrlPr>
                  </m:accPr>
                  <m:e>
                    <m:r>
                      <w:rPr>
                        <w:rFonts w:ascii="Cambria Math" w:hAnsi="Cambria Math"/>
                      </w:rPr>
                      <m:t>x</m:t>
                    </m:r>
                  </m:e>
                </m:acc>
              </m:num>
              <m:den>
                <m:r>
                  <w:rPr>
                    <w:rFonts w:ascii="Cambria Math" w:hAnsi="Cambria Math"/>
                  </w:rPr>
                  <m:t>s</m:t>
                </m:r>
              </m:den>
            </m:f>
            <m:r>
              <w:rPr>
                <w:rFonts w:ascii="Cambria Math"/>
              </w:rPr>
              <m:t>)</m:t>
            </m:r>
          </m:e>
          <m:sup>
            <m:r>
              <w:rPr>
                <w:rFonts w:ascii="Cambria Math"/>
              </w:rPr>
              <m:t>4</m:t>
            </m:r>
          </m:sup>
        </m:sSup>
        <m:r>
          <w:rPr>
            <w:rFonts w:ascii="Cambria Math"/>
          </w:rPr>
          <m:t>-</m:t>
        </m:r>
        <m:f>
          <m:fPr>
            <m:ctrlPr>
              <w:rPr>
                <w:rFonts w:ascii="Cambria Math" w:hAnsi="Cambria Math"/>
                <w:i/>
              </w:rPr>
            </m:ctrlPr>
          </m:fPr>
          <m:num>
            <m:r>
              <w:rPr>
                <w:rFonts w:ascii="Cambria Math"/>
              </w:rPr>
              <m:t>3(</m:t>
            </m:r>
            <m:sSup>
              <m:sSupPr>
                <m:ctrlPr>
                  <w:rPr>
                    <w:rFonts w:ascii="Cambria Math" w:hAnsi="Cambria Math"/>
                    <w:i/>
                  </w:rPr>
                </m:ctrlPr>
              </m:sSupPr>
              <m:e>
                <m:r>
                  <w:rPr>
                    <w:rFonts w:ascii="Cambria Math" w:hAnsi="Cambria Math"/>
                  </w:rPr>
                  <m:t>n</m:t>
                </m:r>
                <m:r>
                  <w:rPr>
                    <w:rFonts w:ascii="Cambria Math"/>
                  </w:rPr>
                  <m:t>-</m:t>
                </m:r>
                <m:r>
                  <w:rPr>
                    <w:rFonts w:ascii="Cambria Math"/>
                  </w:rPr>
                  <m:t>1)</m:t>
                </m:r>
              </m:e>
              <m:sup>
                <m:r>
                  <w:rPr>
                    <w:rFonts w:ascii="Cambria Math"/>
                  </w:rPr>
                  <m:t>2</m:t>
                </m:r>
              </m:sup>
            </m:sSup>
          </m:num>
          <m:den>
            <m:d>
              <m:dPr>
                <m:ctrlPr>
                  <w:rPr>
                    <w:rFonts w:ascii="Cambria Math" w:hAnsi="Cambria Math"/>
                    <w:i/>
                  </w:rPr>
                </m:ctrlPr>
              </m:dPr>
              <m:e>
                <m:r>
                  <w:rPr>
                    <w:rFonts w:ascii="Cambria Math" w:hAnsi="Cambria Math"/>
                  </w:rPr>
                  <m:t>n</m:t>
                </m:r>
                <m:r>
                  <w:rPr>
                    <w:rFonts w:ascii="Cambria Math"/>
                  </w:rPr>
                  <m:t>-</m:t>
                </m:r>
                <m:r>
                  <w:rPr>
                    <w:rFonts w:ascii="Cambria Math"/>
                  </w:rPr>
                  <m:t>2</m:t>
                </m:r>
              </m:e>
            </m:d>
            <m:r>
              <w:rPr>
                <w:rFonts w:ascii="Cambria Math"/>
              </w:rPr>
              <m:t>(</m:t>
            </m:r>
            <m:r>
              <w:rPr>
                <w:rFonts w:ascii="Cambria Math" w:hAnsi="Cambria Math"/>
              </w:rPr>
              <m:t>n</m:t>
            </m:r>
            <m:r>
              <w:rPr>
                <w:rFonts w:ascii="Cambria Math"/>
              </w:rPr>
              <m:t>-</m:t>
            </m:r>
            <m:r>
              <w:rPr>
                <w:rFonts w:ascii="Cambria Math"/>
              </w:rPr>
              <m:t>3)</m:t>
            </m:r>
          </m:den>
        </m:f>
      </m:oMath>
      <w:r w:rsidRPr="008D1470">
        <w:t xml:space="preserve"> </w:t>
      </w:r>
    </w:p>
    <w:p w:rsidR="008D1470" w:rsidRDefault="008D1470" w:rsidP="008D1470">
      <w:pPr>
        <w:jc w:val="center"/>
      </w:pPr>
    </w:p>
    <w:p w:rsidR="008D1470" w:rsidRDefault="008D1470" w:rsidP="008D1470">
      <w:pPr>
        <w:jc w:val="center"/>
      </w:pPr>
      <w:r w:rsidRPr="008D1470">
        <w:rPr>
          <w:noProof/>
          <w:lang w:val="mk-MK" w:eastAsia="mk-MK"/>
        </w:rPr>
        <w:drawing>
          <wp:inline distT="0" distB="0" distL="0" distR="0">
            <wp:extent cx="5731510" cy="828087"/>
            <wp:effectExtent l="19050" t="0" r="254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grayscl/>
                    </a:blip>
                    <a:srcRect/>
                    <a:stretch>
                      <a:fillRect/>
                    </a:stretch>
                  </pic:blipFill>
                  <pic:spPr bwMode="auto">
                    <a:xfrm>
                      <a:off x="0" y="0"/>
                      <a:ext cx="5731510" cy="828087"/>
                    </a:xfrm>
                    <a:prstGeom prst="rect">
                      <a:avLst/>
                    </a:prstGeom>
                    <a:noFill/>
                    <a:ln w="9525">
                      <a:noFill/>
                      <a:miter lim="800000"/>
                      <a:headEnd/>
                      <a:tailEnd/>
                    </a:ln>
                  </pic:spPr>
                </pic:pic>
              </a:graphicData>
            </a:graphic>
          </wp:inline>
        </w:drawing>
      </w:r>
    </w:p>
    <w:p w:rsidR="008D1470" w:rsidRDefault="008D1470" w:rsidP="008D1470">
      <w:pPr>
        <w:jc w:val="center"/>
      </w:pPr>
    </w:p>
    <w:p w:rsidR="008D1470" w:rsidRPr="008D1470" w:rsidRDefault="008D1470" w:rsidP="008D1470">
      <w:pPr>
        <w:pStyle w:val="BodyText"/>
        <w:jc w:val="left"/>
        <w:rPr>
          <w:b w:val="0"/>
          <w:sz w:val="22"/>
          <w:szCs w:val="22"/>
          <w:lang w:val="mk-MK"/>
        </w:rPr>
      </w:pPr>
      <w:r w:rsidRPr="00AA113E">
        <w:rPr>
          <w:b w:val="0"/>
          <w:sz w:val="22"/>
          <w:szCs w:val="22"/>
        </w:rPr>
        <w:t xml:space="preserve">Table </w:t>
      </w:r>
      <w:r w:rsidR="00C77767">
        <w:rPr>
          <w:b w:val="0"/>
          <w:sz w:val="22"/>
          <w:szCs w:val="22"/>
          <w:lang w:val="en-US"/>
        </w:rPr>
        <w:t>6</w:t>
      </w:r>
      <w:r w:rsidRPr="00AA113E">
        <w:rPr>
          <w:b w:val="0"/>
          <w:sz w:val="22"/>
          <w:szCs w:val="22"/>
        </w:rPr>
        <w:t xml:space="preserve">: </w:t>
      </w:r>
      <w:r w:rsidR="00E96EA2">
        <w:rPr>
          <w:b w:val="0"/>
          <w:sz w:val="22"/>
          <w:szCs w:val="22"/>
        </w:rPr>
        <w:t>C</w:t>
      </w:r>
      <w:r w:rsidR="00E96EA2" w:rsidRPr="00E96EA2">
        <w:rPr>
          <w:b w:val="0"/>
          <w:sz w:val="22"/>
          <w:szCs w:val="22"/>
        </w:rPr>
        <w:t>oefficient</w:t>
      </w:r>
      <w:r w:rsidR="00E96EA2">
        <w:rPr>
          <w:b w:val="0"/>
          <w:sz w:val="22"/>
          <w:szCs w:val="22"/>
        </w:rPr>
        <w:t>s</w:t>
      </w:r>
      <w:r w:rsidR="00E96EA2" w:rsidRPr="00E96EA2">
        <w:rPr>
          <w:b w:val="0"/>
          <w:sz w:val="22"/>
          <w:szCs w:val="22"/>
        </w:rPr>
        <w:t xml:space="preserve"> of </w:t>
      </w:r>
      <w:proofErr w:type="spellStart"/>
      <w:r w:rsidR="00E96EA2" w:rsidRPr="00E96EA2">
        <w:rPr>
          <w:b w:val="0"/>
          <w:sz w:val="22"/>
          <w:szCs w:val="22"/>
        </w:rPr>
        <w:t>skewness</w:t>
      </w:r>
      <w:proofErr w:type="spellEnd"/>
      <w:r w:rsidR="00E96EA2">
        <w:rPr>
          <w:b w:val="0"/>
          <w:sz w:val="22"/>
          <w:szCs w:val="22"/>
        </w:rPr>
        <w:t xml:space="preserve"> and kurtosis </w:t>
      </w:r>
      <w:r w:rsidR="00E96EA2" w:rsidRPr="00B017B6">
        <w:rPr>
          <w:b w:val="0"/>
          <w:sz w:val="22"/>
          <w:szCs w:val="22"/>
        </w:rPr>
        <w:t>of investment and pension funds</w:t>
      </w:r>
      <w:r w:rsidR="00E96EA2">
        <w:rPr>
          <w:b w:val="0"/>
          <w:sz w:val="22"/>
          <w:szCs w:val="22"/>
        </w:rPr>
        <w:t xml:space="preserve"> from R. Macedonia</w:t>
      </w:r>
    </w:p>
    <w:p w:rsidR="008D1470" w:rsidRDefault="008D1470" w:rsidP="008D1470">
      <w:pPr>
        <w:jc w:val="center"/>
      </w:pPr>
    </w:p>
    <w:p w:rsidR="008D1470" w:rsidRPr="0054074E" w:rsidRDefault="008D1470" w:rsidP="002D0C31">
      <w:pPr>
        <w:autoSpaceDE w:val="0"/>
        <w:autoSpaceDN w:val="0"/>
        <w:adjustRightInd w:val="0"/>
        <w:jc w:val="both"/>
        <w:rPr>
          <w:lang w:eastAsia="hr-HR"/>
        </w:rPr>
      </w:pPr>
      <w:r w:rsidRPr="008D1470">
        <w:rPr>
          <w:lang w:eastAsia="hr-HR"/>
        </w:rPr>
        <w:t xml:space="preserve">When returns fall outside of a normal distribution, the distribution exhibits </w:t>
      </w:r>
      <w:proofErr w:type="spellStart"/>
      <w:r w:rsidRPr="008D1470">
        <w:rPr>
          <w:lang w:eastAsia="hr-HR"/>
        </w:rPr>
        <w:t>skewness</w:t>
      </w:r>
      <w:proofErr w:type="spellEnd"/>
      <w:r w:rsidRPr="008D1470">
        <w:rPr>
          <w:lang w:eastAsia="hr-HR"/>
        </w:rPr>
        <w:t xml:space="preserve"> or kurtosis. </w:t>
      </w:r>
      <w:proofErr w:type="spellStart"/>
      <w:r w:rsidRPr="008D1470">
        <w:rPr>
          <w:lang w:eastAsia="hr-HR"/>
        </w:rPr>
        <w:t>Skewness</w:t>
      </w:r>
      <w:proofErr w:type="spellEnd"/>
      <w:r w:rsidRPr="008D1470">
        <w:rPr>
          <w:lang w:eastAsia="hr-HR"/>
        </w:rPr>
        <w:t xml:space="preserve"> is known as the third “moment” of a return distribution and kurtosis is known as the fourth moment of the return distribution, with the mean and the variance being the first and second moments, respectively. (Variance is a statistic that is closely related to standard deviation; both measure the dispersion of an investment’s historical returns.) Ideally, investors should consider all four moments or characteristics of an investment’s return distribution.</w:t>
      </w:r>
    </w:p>
    <w:p w:rsidR="008D1470" w:rsidRPr="008D1470" w:rsidRDefault="008D1470" w:rsidP="008D1470">
      <w:pPr>
        <w:pStyle w:val="ListParagraph"/>
        <w:numPr>
          <w:ilvl w:val="0"/>
          <w:numId w:val="21"/>
        </w:numPr>
        <w:jc w:val="both"/>
      </w:pPr>
      <w:proofErr w:type="spellStart"/>
      <w:r w:rsidRPr="008D1470">
        <w:t>Skewness</w:t>
      </w:r>
      <w:proofErr w:type="spellEnd"/>
      <w:r w:rsidRPr="008D1470">
        <w:t xml:space="preserve">: This measure characterizes the degree of asymmetry of a distribution around its mean. Positive </w:t>
      </w:r>
      <w:proofErr w:type="spellStart"/>
      <w:r w:rsidRPr="008D1470">
        <w:t>skewness</w:t>
      </w:r>
      <w:proofErr w:type="spellEnd"/>
      <w:r w:rsidRPr="008D1470">
        <w:t xml:space="preserve"> indicates a distribution with an asymmetric tail extending toward more positive values. Negative </w:t>
      </w:r>
      <w:proofErr w:type="spellStart"/>
      <w:r w:rsidRPr="008D1470">
        <w:t>skewness</w:t>
      </w:r>
      <w:proofErr w:type="spellEnd"/>
      <w:r w:rsidRPr="008D1470">
        <w:t xml:space="preserve"> indicates a distribution with an asymmetric tail extending toward more negative values. </w:t>
      </w:r>
    </w:p>
    <w:p w:rsidR="008D1470" w:rsidRDefault="008D1470" w:rsidP="008D1470">
      <w:pPr>
        <w:pStyle w:val="ListParagraph"/>
        <w:numPr>
          <w:ilvl w:val="0"/>
          <w:numId w:val="21"/>
        </w:numPr>
        <w:jc w:val="both"/>
      </w:pPr>
      <w:r w:rsidRPr="008D1470">
        <w:t xml:space="preserve">Kurtosis: Kurtosis measures the degree to which a distribution is more or less peaked than a normal distribution. Positive kurtosis indicates a relatively peaked distribution. Negative kurtosis indicates a relatively flat distribution. A normal distribution has a kurtosis of 3. Therefore, an investment characterized by high kurtosis will have “fat tails” (higher frequencies of outcomes) at the extreme negative and positive ends of the distribution curve. A distribution of returns exhibiting high kurtosis tends to overestimate the probability of achieving the </w:t>
      </w:r>
      <w:r w:rsidRPr="008D1470">
        <w:lastRenderedPageBreak/>
        <w:t xml:space="preserve">mean return. </w:t>
      </w:r>
      <w:proofErr w:type="spellStart"/>
      <w:r w:rsidRPr="008D1470">
        <w:t>Skewness</w:t>
      </w:r>
      <w:proofErr w:type="spellEnd"/>
      <w:r w:rsidRPr="008D1470">
        <w:t xml:space="preserve"> and kurtosis are important because few investment returns are normally distributed. Investors often predict future returns based on standard deviation, but such predictions assume a normal distribution. An investment’s </w:t>
      </w:r>
      <w:proofErr w:type="spellStart"/>
      <w:r w:rsidRPr="008D1470">
        <w:t>skewness</w:t>
      </w:r>
      <w:proofErr w:type="spellEnd"/>
      <w:r w:rsidRPr="008D1470">
        <w:t xml:space="preserve"> and kurtosis measure how its distribution differs from a normal distribution and therefore provide an indication of the reliability of predictions based on the standard deviation.</w:t>
      </w:r>
    </w:p>
    <w:p w:rsidR="008D1470" w:rsidRDefault="008D1470" w:rsidP="008D1470">
      <w:pPr>
        <w:pStyle w:val="ListParagraph"/>
        <w:ind w:left="1080"/>
        <w:jc w:val="both"/>
      </w:pPr>
    </w:p>
    <w:p w:rsidR="008D1470" w:rsidRDefault="008D1470" w:rsidP="008D1470">
      <w:pPr>
        <w:jc w:val="both"/>
      </w:pPr>
      <w:proofErr w:type="spellStart"/>
      <w:r w:rsidRPr="008D1470">
        <w:t>Skewness</w:t>
      </w:r>
      <w:proofErr w:type="spellEnd"/>
      <w:r w:rsidRPr="008D1470">
        <w:t xml:space="preserve"> and kurtosis are important because few investment returns are normally distributed. Investors often predict future returns based on standard deviation, but such predictions assume a normal distribution. An investment’s </w:t>
      </w:r>
      <w:proofErr w:type="spellStart"/>
      <w:r w:rsidRPr="008D1470">
        <w:t>skewness</w:t>
      </w:r>
      <w:proofErr w:type="spellEnd"/>
      <w:r w:rsidRPr="008D1470">
        <w:t xml:space="preserve"> and kurtosis measure how its distribution differs from a normal distribution and therefore provide an indication of the reliability of predictions based on the standard deviation.</w:t>
      </w:r>
    </w:p>
    <w:p w:rsidR="008D1470" w:rsidRDefault="008D1470" w:rsidP="008D1470">
      <w:pPr>
        <w:jc w:val="both"/>
      </w:pPr>
    </w:p>
    <w:p w:rsidR="008D1470" w:rsidRDefault="008D1470" w:rsidP="008D1470">
      <w:pPr>
        <w:jc w:val="both"/>
      </w:pPr>
    </w:p>
    <w:p w:rsidR="008D1470" w:rsidRPr="008D1470" w:rsidRDefault="008D1470" w:rsidP="008D1470">
      <w:pPr>
        <w:jc w:val="center"/>
      </w:pPr>
      <w:r w:rsidRPr="008D1470">
        <w:rPr>
          <w:noProof/>
          <w:lang w:val="mk-MK" w:eastAsia="mk-MK"/>
        </w:rPr>
        <w:drawing>
          <wp:inline distT="0" distB="0" distL="0" distR="0">
            <wp:extent cx="5759450" cy="1525037"/>
            <wp:effectExtent l="19050" t="0" r="0" b="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grayscl/>
                    </a:blip>
                    <a:srcRect/>
                    <a:stretch>
                      <a:fillRect/>
                    </a:stretch>
                  </pic:blipFill>
                  <pic:spPr bwMode="auto">
                    <a:xfrm>
                      <a:off x="0" y="0"/>
                      <a:ext cx="5759450" cy="1525037"/>
                    </a:xfrm>
                    <a:prstGeom prst="rect">
                      <a:avLst/>
                    </a:prstGeom>
                    <a:noFill/>
                    <a:ln w="9525">
                      <a:noFill/>
                      <a:miter lim="800000"/>
                      <a:headEnd/>
                      <a:tailEnd/>
                    </a:ln>
                  </pic:spPr>
                </pic:pic>
              </a:graphicData>
            </a:graphic>
          </wp:inline>
        </w:drawing>
      </w:r>
    </w:p>
    <w:p w:rsidR="00F8553D" w:rsidRDefault="00F8553D" w:rsidP="00F8553D">
      <w:pPr>
        <w:pStyle w:val="BodyText"/>
        <w:jc w:val="left"/>
        <w:rPr>
          <w:szCs w:val="22"/>
          <w:lang w:val="mk-MK" w:eastAsia="hr-HR"/>
        </w:rPr>
      </w:pPr>
    </w:p>
    <w:p w:rsidR="007F06D6" w:rsidRPr="00287DB2" w:rsidRDefault="008D1470" w:rsidP="00287DB2">
      <w:pPr>
        <w:pStyle w:val="BodyText"/>
        <w:jc w:val="left"/>
        <w:rPr>
          <w:b w:val="0"/>
          <w:sz w:val="22"/>
          <w:szCs w:val="22"/>
          <w:lang w:val="mk-MK"/>
        </w:rPr>
      </w:pPr>
      <w:r w:rsidRPr="00AA113E">
        <w:rPr>
          <w:b w:val="0"/>
          <w:sz w:val="22"/>
          <w:szCs w:val="22"/>
        </w:rPr>
        <w:t xml:space="preserve">Table </w:t>
      </w:r>
      <w:r w:rsidR="00C77767">
        <w:rPr>
          <w:b w:val="0"/>
          <w:sz w:val="22"/>
          <w:szCs w:val="22"/>
          <w:lang w:val="en-US"/>
        </w:rPr>
        <w:t>7</w:t>
      </w:r>
      <w:r w:rsidRPr="00AA113E">
        <w:rPr>
          <w:b w:val="0"/>
          <w:sz w:val="22"/>
          <w:szCs w:val="22"/>
        </w:rPr>
        <w:t xml:space="preserve">: </w:t>
      </w:r>
      <w:r w:rsidR="0085032F">
        <w:rPr>
          <w:b w:val="0"/>
          <w:sz w:val="22"/>
          <w:szCs w:val="22"/>
        </w:rPr>
        <w:t>Return Distribution Characteristics</w:t>
      </w:r>
    </w:p>
    <w:p w:rsidR="00E932FC" w:rsidRDefault="00E932FC" w:rsidP="00C956C2">
      <w:pPr>
        <w:autoSpaceDE w:val="0"/>
        <w:autoSpaceDN w:val="0"/>
        <w:adjustRightInd w:val="0"/>
        <w:rPr>
          <w:sz w:val="22"/>
          <w:szCs w:val="22"/>
          <w:lang w:eastAsia="hr-HR"/>
        </w:rPr>
      </w:pPr>
    </w:p>
    <w:p w:rsidR="0054074E" w:rsidRPr="0054074E" w:rsidRDefault="0054074E" w:rsidP="00C956C2">
      <w:pPr>
        <w:autoSpaceDE w:val="0"/>
        <w:autoSpaceDN w:val="0"/>
        <w:adjustRightInd w:val="0"/>
        <w:rPr>
          <w:sz w:val="22"/>
          <w:szCs w:val="22"/>
          <w:lang w:eastAsia="hr-HR"/>
        </w:rPr>
      </w:pPr>
    </w:p>
    <w:p w:rsidR="00C956C2" w:rsidRPr="002D0C31" w:rsidRDefault="00865222" w:rsidP="002D0C31">
      <w:pPr>
        <w:pStyle w:val="ListParagraph"/>
        <w:numPr>
          <w:ilvl w:val="1"/>
          <w:numId w:val="27"/>
        </w:numPr>
        <w:autoSpaceDE w:val="0"/>
        <w:autoSpaceDN w:val="0"/>
        <w:adjustRightInd w:val="0"/>
        <w:rPr>
          <w:b/>
          <w:lang w:val="hr-HR" w:eastAsia="hr-HR"/>
        </w:rPr>
      </w:pPr>
      <w:r w:rsidRPr="002D0C31">
        <w:rPr>
          <w:b/>
          <w:lang w:eastAsia="hr-HR"/>
        </w:rPr>
        <w:t>Absolute Risk-Adjusted Measures</w:t>
      </w:r>
    </w:p>
    <w:p w:rsidR="00C956C2" w:rsidRPr="008460EB" w:rsidRDefault="00C956C2" w:rsidP="00C956C2">
      <w:pPr>
        <w:autoSpaceDE w:val="0"/>
        <w:autoSpaceDN w:val="0"/>
        <w:adjustRightInd w:val="0"/>
        <w:rPr>
          <w:lang w:val="hr-HR" w:eastAsia="hr-HR"/>
        </w:rPr>
      </w:pPr>
    </w:p>
    <w:p w:rsidR="006F12B8" w:rsidRPr="006F12B8" w:rsidRDefault="006F12B8" w:rsidP="002D0C31">
      <w:pPr>
        <w:autoSpaceDE w:val="0"/>
        <w:autoSpaceDN w:val="0"/>
        <w:adjustRightInd w:val="0"/>
        <w:jc w:val="both"/>
        <w:rPr>
          <w:lang w:eastAsia="hr-HR"/>
        </w:rPr>
      </w:pPr>
      <w:r w:rsidRPr="006F12B8">
        <w:rPr>
          <w:lang w:eastAsia="hr-HR"/>
        </w:rPr>
        <w:t>When it comes to comparing traditional return analysis and absolute return analysis one of the differences between the two is accepting the fact that volatility is good, provided it is on the upside. By all means, upside volatility should be less of a concern for most investors, who should consider downside deviation as a better measure of a fund’s ability to achieve its return goal. Therefore investors should acquaint themselves with downside deviation. Downside deviation introduces the concept of minimum acceptable return (MAR) as a risk factor.</w:t>
      </w:r>
      <w:r>
        <w:rPr>
          <w:lang w:eastAsia="hr-HR"/>
        </w:rPr>
        <w:t xml:space="preserve"> </w:t>
      </w:r>
      <w:r w:rsidRPr="006F12B8">
        <w:rPr>
          <w:lang w:eastAsia="hr-HR"/>
        </w:rPr>
        <w:t>The question is</w:t>
      </w:r>
      <w:proofErr w:type="gramStart"/>
      <w:r w:rsidRPr="006F12B8">
        <w:rPr>
          <w:lang w:eastAsia="hr-HR"/>
        </w:rPr>
        <w:t>,</w:t>
      </w:r>
      <w:proofErr w:type="gramEnd"/>
      <w:r w:rsidRPr="006F12B8">
        <w:rPr>
          <w:lang w:eastAsia="hr-HR"/>
        </w:rPr>
        <w:t xml:space="preserve"> what statistics can we use to compare funds, if we take the standard deviation out of the equation? While fund returns may seem useful, they do not consider the investment’s risk, which is why investors should always use risk-adjusted statistics such as the Sharpe, </w:t>
      </w:r>
      <w:proofErr w:type="spellStart"/>
      <w:r w:rsidRPr="006F12B8">
        <w:rPr>
          <w:lang w:eastAsia="hr-HR"/>
        </w:rPr>
        <w:t>Sortino</w:t>
      </w:r>
      <w:proofErr w:type="spellEnd"/>
      <w:r w:rsidRPr="006F12B8">
        <w:rPr>
          <w:lang w:eastAsia="hr-HR"/>
        </w:rPr>
        <w:t xml:space="preserve">, </w:t>
      </w:r>
      <w:proofErr w:type="gramStart"/>
      <w:r w:rsidRPr="006F12B8">
        <w:rPr>
          <w:lang w:eastAsia="hr-HR"/>
        </w:rPr>
        <w:t>Sterling</w:t>
      </w:r>
      <w:proofErr w:type="gramEnd"/>
      <w:r w:rsidRPr="006F12B8">
        <w:rPr>
          <w:lang w:eastAsia="hr-HR"/>
        </w:rPr>
        <w:t xml:space="preserve"> or Calmar ratios.</w:t>
      </w:r>
      <w:r w:rsidR="008A6F63">
        <w:rPr>
          <w:rStyle w:val="FootnoteReference"/>
          <w:lang w:eastAsia="hr-HR"/>
        </w:rPr>
        <w:footnoteReference w:id="5"/>
      </w:r>
    </w:p>
    <w:p w:rsidR="006F12B8" w:rsidRDefault="006F12B8" w:rsidP="002D0C31">
      <w:pPr>
        <w:jc w:val="both"/>
        <w:rPr>
          <w:lang w:eastAsia="hr-HR"/>
        </w:rPr>
      </w:pPr>
      <w:r w:rsidRPr="006F12B8">
        <w:rPr>
          <w:lang w:eastAsia="hr-HR"/>
        </w:rPr>
        <w:t>The Sharpe ratio is the best-known risk-adjusted statistic. An investment’s Sharpe ratio can be calculated by taking the average period return, subtracting the risk-free rate, and dividing it by the standard deviation for the period.</w:t>
      </w:r>
      <w:r w:rsidR="00F90E3D">
        <w:rPr>
          <w:rStyle w:val="FootnoteReference"/>
          <w:lang w:eastAsia="hr-HR"/>
        </w:rPr>
        <w:footnoteReference w:id="6"/>
      </w:r>
    </w:p>
    <w:p w:rsidR="006F12B8" w:rsidRDefault="006F12B8" w:rsidP="00865222">
      <w:pPr>
        <w:jc w:val="center"/>
        <w:rPr>
          <w:lang w:eastAsia="hr-HR"/>
        </w:rPr>
      </w:pPr>
    </w:p>
    <w:p w:rsidR="00865222" w:rsidRPr="00865222" w:rsidRDefault="00865222" w:rsidP="00865222">
      <w:pPr>
        <w:jc w:val="center"/>
      </w:pPr>
      <w:r w:rsidRPr="00865222">
        <w:t xml:space="preserve">Sharpe Ratio = </w:t>
      </w:r>
      <m:oMath>
        <m:f>
          <m:fPr>
            <m:ctrlPr>
              <w:rPr>
                <w:rFonts w:ascii="Cambria Math" w:hAnsi="Cambria Math"/>
                <w:i/>
              </w:rPr>
            </m:ctrlPr>
          </m:fPr>
          <m:num>
            <m:r>
              <w:rPr>
                <w:rFonts w:ascii="Cambria Math" w:hAnsi="Cambria Math"/>
              </w:rPr>
              <m:t>Mean-Risk</m:t>
            </m:r>
            <m:r>
              <w:rPr>
                <w:rFonts w:ascii="Cambria Math"/>
              </w:rPr>
              <m:t xml:space="preserve"> </m:t>
            </m:r>
            <m:r>
              <w:rPr>
                <w:rFonts w:ascii="Cambria Math" w:hAnsi="Cambria Math"/>
              </w:rPr>
              <m:t>Free</m:t>
            </m:r>
            <m:r>
              <w:rPr>
                <w:rFonts w:ascii="Cambria Math"/>
              </w:rPr>
              <m:t xml:space="preserve">  </m:t>
            </m:r>
            <m:r>
              <w:rPr>
                <w:rFonts w:ascii="Cambria Math" w:hAnsi="Cambria Math"/>
              </w:rPr>
              <m:t>Rate</m:t>
            </m:r>
          </m:num>
          <m:den>
            <m:r>
              <w:rPr>
                <w:rFonts w:ascii="Cambria Math" w:hAnsi="Cambria Math"/>
              </w:rPr>
              <m:t>Standard</m:t>
            </m:r>
            <m:r>
              <w:rPr>
                <w:rFonts w:ascii="Cambria Math"/>
              </w:rPr>
              <m:t xml:space="preserve"> </m:t>
            </m:r>
            <m:r>
              <w:rPr>
                <w:rFonts w:ascii="Cambria Math" w:hAnsi="Cambria Math"/>
              </w:rPr>
              <m:t>Deviation</m:t>
            </m:r>
            <m:r>
              <w:rPr>
                <w:rFonts w:ascii="Cambria Math"/>
              </w:rPr>
              <m:t xml:space="preserve"> (</m:t>
            </m:r>
            <m:r>
              <w:rPr>
                <w:rFonts w:ascii="Cambria Math" w:hAnsi="Cambria Math"/>
              </w:rPr>
              <m:t>σ</m:t>
            </m:r>
            <m:r>
              <w:rPr>
                <w:rFonts w:ascii="Cambria Math"/>
              </w:rPr>
              <m:t>)</m:t>
            </m:r>
          </m:den>
        </m:f>
      </m:oMath>
    </w:p>
    <w:p w:rsidR="00865222" w:rsidRDefault="00865222" w:rsidP="00865222">
      <w:pPr>
        <w:autoSpaceDE w:val="0"/>
        <w:autoSpaceDN w:val="0"/>
        <w:adjustRightInd w:val="0"/>
        <w:rPr>
          <w:sz w:val="22"/>
          <w:szCs w:val="22"/>
          <w:lang w:eastAsia="hr-HR"/>
        </w:rPr>
      </w:pPr>
    </w:p>
    <w:p w:rsidR="00865222" w:rsidRDefault="00865222" w:rsidP="003B704F">
      <w:pPr>
        <w:autoSpaceDE w:val="0"/>
        <w:autoSpaceDN w:val="0"/>
        <w:adjustRightInd w:val="0"/>
        <w:jc w:val="both"/>
        <w:rPr>
          <w:lang w:eastAsia="hr-HR"/>
        </w:rPr>
      </w:pPr>
    </w:p>
    <w:p w:rsidR="00865222" w:rsidRDefault="00865222" w:rsidP="003B704F">
      <w:pPr>
        <w:autoSpaceDE w:val="0"/>
        <w:autoSpaceDN w:val="0"/>
        <w:adjustRightInd w:val="0"/>
        <w:jc w:val="both"/>
        <w:rPr>
          <w:lang w:eastAsia="hr-HR"/>
        </w:rPr>
      </w:pPr>
      <w:r w:rsidRPr="00865222">
        <w:rPr>
          <w:noProof/>
          <w:lang w:val="mk-MK" w:eastAsia="mk-MK"/>
        </w:rPr>
        <w:lastRenderedPageBreak/>
        <w:drawing>
          <wp:inline distT="0" distB="0" distL="0" distR="0">
            <wp:extent cx="5731510" cy="555096"/>
            <wp:effectExtent l="19050" t="0" r="254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grayscl/>
                    </a:blip>
                    <a:srcRect/>
                    <a:stretch>
                      <a:fillRect/>
                    </a:stretch>
                  </pic:blipFill>
                  <pic:spPr bwMode="auto">
                    <a:xfrm>
                      <a:off x="0" y="0"/>
                      <a:ext cx="5731510" cy="555096"/>
                    </a:xfrm>
                    <a:prstGeom prst="rect">
                      <a:avLst/>
                    </a:prstGeom>
                    <a:noFill/>
                    <a:ln w="9525">
                      <a:noFill/>
                      <a:miter lim="800000"/>
                      <a:headEnd/>
                      <a:tailEnd/>
                    </a:ln>
                  </pic:spPr>
                </pic:pic>
              </a:graphicData>
            </a:graphic>
          </wp:inline>
        </w:drawing>
      </w:r>
    </w:p>
    <w:p w:rsidR="007F07E5" w:rsidRDefault="007F07E5" w:rsidP="003B704F">
      <w:pPr>
        <w:autoSpaceDE w:val="0"/>
        <w:autoSpaceDN w:val="0"/>
        <w:adjustRightInd w:val="0"/>
        <w:jc w:val="both"/>
        <w:rPr>
          <w:lang w:eastAsia="hr-HR"/>
        </w:rPr>
      </w:pPr>
    </w:p>
    <w:p w:rsidR="007F07E5" w:rsidRPr="00AA113E" w:rsidRDefault="007F07E5" w:rsidP="007F07E5">
      <w:pPr>
        <w:pStyle w:val="BodyText"/>
        <w:ind w:left="770" w:hanging="784"/>
        <w:jc w:val="left"/>
        <w:rPr>
          <w:b w:val="0"/>
          <w:sz w:val="22"/>
          <w:szCs w:val="22"/>
        </w:rPr>
      </w:pPr>
      <w:r w:rsidRPr="00AA113E">
        <w:rPr>
          <w:b w:val="0"/>
          <w:sz w:val="22"/>
          <w:szCs w:val="22"/>
        </w:rPr>
        <w:t xml:space="preserve">Table </w:t>
      </w:r>
      <w:r w:rsidR="00C77767">
        <w:rPr>
          <w:b w:val="0"/>
          <w:sz w:val="22"/>
          <w:szCs w:val="22"/>
          <w:lang w:val="en-US"/>
        </w:rPr>
        <w:t>8</w:t>
      </w:r>
      <w:r w:rsidRPr="00AA113E">
        <w:rPr>
          <w:b w:val="0"/>
          <w:sz w:val="22"/>
          <w:szCs w:val="22"/>
        </w:rPr>
        <w:t xml:space="preserve">: </w:t>
      </w:r>
      <w:r w:rsidR="0085032F">
        <w:rPr>
          <w:b w:val="0"/>
          <w:sz w:val="22"/>
          <w:szCs w:val="22"/>
        </w:rPr>
        <w:t>Sharpe c</w:t>
      </w:r>
      <w:r w:rsidR="0085032F" w:rsidRPr="00E96EA2">
        <w:rPr>
          <w:b w:val="0"/>
          <w:sz w:val="22"/>
          <w:szCs w:val="22"/>
        </w:rPr>
        <w:t>oefficient</w:t>
      </w:r>
      <w:r w:rsidR="0085032F">
        <w:rPr>
          <w:b w:val="0"/>
          <w:sz w:val="22"/>
          <w:szCs w:val="22"/>
        </w:rPr>
        <w:t xml:space="preserve">s </w:t>
      </w:r>
      <w:r w:rsidR="00BC44D5">
        <w:rPr>
          <w:b w:val="0"/>
          <w:sz w:val="22"/>
          <w:szCs w:val="22"/>
        </w:rPr>
        <w:t>for the</w:t>
      </w:r>
      <w:r w:rsidR="0085032F" w:rsidRPr="00B017B6">
        <w:rPr>
          <w:b w:val="0"/>
          <w:sz w:val="22"/>
          <w:szCs w:val="22"/>
        </w:rPr>
        <w:t xml:space="preserve"> investment and pension funds</w:t>
      </w:r>
      <w:r w:rsidR="0085032F">
        <w:rPr>
          <w:b w:val="0"/>
          <w:sz w:val="22"/>
          <w:szCs w:val="22"/>
        </w:rPr>
        <w:t xml:space="preserve"> </w:t>
      </w:r>
      <w:r w:rsidR="00BC44D5">
        <w:rPr>
          <w:b w:val="0"/>
          <w:sz w:val="22"/>
          <w:szCs w:val="22"/>
        </w:rPr>
        <w:t>in</w:t>
      </w:r>
      <w:r w:rsidR="0085032F">
        <w:rPr>
          <w:b w:val="0"/>
          <w:sz w:val="22"/>
          <w:szCs w:val="22"/>
        </w:rPr>
        <w:t xml:space="preserve"> R. Macedonia</w:t>
      </w:r>
    </w:p>
    <w:p w:rsidR="007F07E5" w:rsidRDefault="007F07E5" w:rsidP="003B704F">
      <w:pPr>
        <w:autoSpaceDE w:val="0"/>
        <w:autoSpaceDN w:val="0"/>
        <w:adjustRightInd w:val="0"/>
        <w:jc w:val="both"/>
        <w:rPr>
          <w:lang w:eastAsia="hr-HR"/>
        </w:rPr>
      </w:pPr>
    </w:p>
    <w:p w:rsidR="007F07E5" w:rsidRDefault="006F12B8" w:rsidP="003B704F">
      <w:pPr>
        <w:autoSpaceDE w:val="0"/>
        <w:autoSpaceDN w:val="0"/>
        <w:adjustRightInd w:val="0"/>
        <w:jc w:val="both"/>
        <w:rPr>
          <w:lang w:eastAsia="hr-HR"/>
        </w:rPr>
      </w:pPr>
      <w:r w:rsidRPr="006F12B8">
        <w:rPr>
          <w:lang w:eastAsia="hr-HR"/>
        </w:rPr>
        <w:t xml:space="preserve">Since upside volatility will decrease the Sharpe ratio of some investments, the </w:t>
      </w:r>
      <w:proofErr w:type="spellStart"/>
      <w:r w:rsidRPr="006F12B8">
        <w:rPr>
          <w:lang w:eastAsia="hr-HR"/>
        </w:rPr>
        <w:t>Sortino</w:t>
      </w:r>
      <w:proofErr w:type="spellEnd"/>
      <w:r w:rsidRPr="006F12B8">
        <w:rPr>
          <w:lang w:eastAsia="hr-HR"/>
        </w:rPr>
        <w:t xml:space="preserve"> ratio can be used as an alternative. The </w:t>
      </w:r>
      <w:proofErr w:type="spellStart"/>
      <w:r w:rsidRPr="006F12B8">
        <w:rPr>
          <w:lang w:eastAsia="hr-HR"/>
        </w:rPr>
        <w:t>Sortino</w:t>
      </w:r>
      <w:proofErr w:type="spellEnd"/>
      <w:r w:rsidRPr="006F12B8">
        <w:rPr>
          <w:lang w:eastAsia="hr-HR"/>
        </w:rPr>
        <w:t xml:space="preserve"> ratio is similar to the Sharpe ratio; however it uses downside deviation instead of standard deviation in the denominator of the formula, as well as substituting a minimum acceptable return for the risk free rate. In other words, the </w:t>
      </w:r>
      <w:proofErr w:type="spellStart"/>
      <w:r w:rsidRPr="006F12B8">
        <w:rPr>
          <w:lang w:eastAsia="hr-HR"/>
        </w:rPr>
        <w:t>Sortino</w:t>
      </w:r>
      <w:proofErr w:type="spellEnd"/>
      <w:r w:rsidRPr="006F12B8">
        <w:rPr>
          <w:lang w:eastAsia="hr-HR"/>
        </w:rPr>
        <w:t xml:space="preserve"> ratio equals the return minus the MAR, divided by the downside deviation.</w:t>
      </w:r>
      <w:r w:rsidR="00FE07F1">
        <w:rPr>
          <w:rStyle w:val="FootnoteReference"/>
          <w:lang w:eastAsia="hr-HR"/>
        </w:rPr>
        <w:footnoteReference w:id="7"/>
      </w:r>
    </w:p>
    <w:p w:rsidR="006F12B8" w:rsidRPr="006F12B8" w:rsidRDefault="006F12B8" w:rsidP="003B704F">
      <w:pPr>
        <w:autoSpaceDE w:val="0"/>
        <w:autoSpaceDN w:val="0"/>
        <w:adjustRightInd w:val="0"/>
        <w:jc w:val="both"/>
        <w:rPr>
          <w:lang w:eastAsia="hr-HR"/>
        </w:rPr>
      </w:pPr>
    </w:p>
    <w:p w:rsidR="007F07E5" w:rsidRPr="007F07E5" w:rsidRDefault="007F07E5" w:rsidP="007F07E5">
      <w:pPr>
        <w:jc w:val="center"/>
        <w:rPr>
          <w:rFonts w:eastAsiaTheme="minorEastAsia"/>
        </w:rPr>
      </w:pPr>
      <w:proofErr w:type="spellStart"/>
      <w:r w:rsidRPr="007F07E5">
        <w:t>Sortino</w:t>
      </w:r>
      <w:proofErr w:type="spellEnd"/>
      <w:r w:rsidRPr="007F07E5">
        <w:t xml:space="preserve"> Ratio = </w:t>
      </w:r>
      <m:oMath>
        <m:f>
          <m:fPr>
            <m:ctrlPr>
              <w:rPr>
                <w:rFonts w:ascii="Cambria Math" w:hAnsi="Cambria Math"/>
                <w:i/>
              </w:rPr>
            </m:ctrlPr>
          </m:fPr>
          <m:num>
            <m:r>
              <w:rPr>
                <w:rFonts w:ascii="Cambria Math" w:hAnsi="Cambria Math"/>
              </w:rPr>
              <m:t>Mean</m:t>
            </m:r>
            <m:r>
              <w:rPr>
                <w:rFonts w:ascii="Cambria Math"/>
              </w:rPr>
              <m:t xml:space="preserve"> </m:t>
            </m:r>
            <m:r>
              <w:rPr>
                <w:rFonts w:ascii="Cambria Math" w:hAnsi="Cambria Math"/>
              </w:rPr>
              <m:t>–Minimum</m:t>
            </m:r>
            <m:r>
              <w:rPr>
                <w:rFonts w:ascii="Cambria Math"/>
              </w:rPr>
              <m:t xml:space="preserve"> </m:t>
            </m:r>
            <m:r>
              <w:rPr>
                <w:rFonts w:ascii="Cambria Math" w:hAnsi="Cambria Math"/>
              </w:rPr>
              <m:t>Acceptable</m:t>
            </m:r>
            <m:r>
              <w:rPr>
                <w:rFonts w:ascii="Cambria Math"/>
              </w:rPr>
              <m:t xml:space="preserve"> </m:t>
            </m:r>
            <m:r>
              <w:rPr>
                <w:rFonts w:ascii="Cambria Math" w:hAnsi="Cambria Math"/>
              </w:rPr>
              <m:t>Return</m:t>
            </m:r>
            <m:r>
              <w:rPr>
                <w:rFonts w:ascii="Cambria Math"/>
              </w:rPr>
              <m:t xml:space="preserve"> (</m:t>
            </m:r>
            <m:r>
              <w:rPr>
                <w:rFonts w:ascii="Cambria Math" w:hAnsi="Cambria Math"/>
              </w:rPr>
              <m:t>MAR</m:t>
            </m:r>
            <m:r>
              <w:rPr>
                <w:rFonts w:ascii="Cambria Math"/>
              </w:rPr>
              <m:t>)</m:t>
            </m:r>
          </m:num>
          <m:den>
            <m:r>
              <w:rPr>
                <w:rFonts w:ascii="Cambria Math" w:hAnsi="Cambria Math"/>
              </w:rPr>
              <m:t>Downside</m:t>
            </m:r>
            <m:r>
              <w:rPr>
                <w:rFonts w:ascii="Cambria Math"/>
              </w:rPr>
              <m:t xml:space="preserve"> </m:t>
            </m:r>
            <m:r>
              <w:rPr>
                <w:rFonts w:ascii="Cambria Math" w:hAnsi="Cambria Math"/>
              </w:rPr>
              <m:t>Deviation</m:t>
            </m:r>
            <m:r>
              <w:rPr>
                <w:rFonts w:ascii="Cambria Math"/>
              </w:rPr>
              <m:t xml:space="preserve"> </m:t>
            </m:r>
            <m:r>
              <w:rPr>
                <w:rFonts w:ascii="Cambria Math" w:hAnsi="Cambria Math"/>
              </w:rPr>
              <m:t>σ</m:t>
            </m:r>
          </m:den>
        </m:f>
      </m:oMath>
    </w:p>
    <w:p w:rsidR="007F07E5" w:rsidRDefault="007F07E5" w:rsidP="003B704F">
      <w:pPr>
        <w:autoSpaceDE w:val="0"/>
        <w:autoSpaceDN w:val="0"/>
        <w:adjustRightInd w:val="0"/>
        <w:jc w:val="both"/>
        <w:rPr>
          <w:lang w:eastAsia="hr-HR"/>
        </w:rPr>
      </w:pPr>
    </w:p>
    <w:p w:rsidR="007F07E5" w:rsidRDefault="007F07E5" w:rsidP="003B704F">
      <w:pPr>
        <w:autoSpaceDE w:val="0"/>
        <w:autoSpaceDN w:val="0"/>
        <w:adjustRightInd w:val="0"/>
        <w:jc w:val="both"/>
        <w:rPr>
          <w:lang w:val="mk-MK" w:eastAsia="hr-HR"/>
        </w:rPr>
      </w:pPr>
      <w:r w:rsidRPr="007F07E5">
        <w:rPr>
          <w:noProof/>
          <w:lang w:val="mk-MK" w:eastAsia="mk-MK"/>
        </w:rPr>
        <w:drawing>
          <wp:inline distT="0" distB="0" distL="0" distR="0">
            <wp:extent cx="5731510" cy="555096"/>
            <wp:effectExtent l="19050" t="0" r="254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grayscl/>
                    </a:blip>
                    <a:srcRect/>
                    <a:stretch>
                      <a:fillRect/>
                    </a:stretch>
                  </pic:blipFill>
                  <pic:spPr bwMode="auto">
                    <a:xfrm>
                      <a:off x="0" y="0"/>
                      <a:ext cx="5731510" cy="555096"/>
                    </a:xfrm>
                    <a:prstGeom prst="rect">
                      <a:avLst/>
                    </a:prstGeom>
                    <a:noFill/>
                    <a:ln w="9525">
                      <a:noFill/>
                      <a:miter lim="800000"/>
                      <a:headEnd/>
                      <a:tailEnd/>
                    </a:ln>
                  </pic:spPr>
                </pic:pic>
              </a:graphicData>
            </a:graphic>
          </wp:inline>
        </w:drawing>
      </w:r>
    </w:p>
    <w:p w:rsidR="00522AC1" w:rsidRDefault="00522AC1" w:rsidP="002D0C31">
      <w:pPr>
        <w:pStyle w:val="BodyText"/>
        <w:ind w:left="770" w:hanging="784"/>
        <w:jc w:val="left"/>
        <w:rPr>
          <w:b w:val="0"/>
          <w:sz w:val="22"/>
          <w:szCs w:val="22"/>
          <w:lang w:val="mk-MK"/>
        </w:rPr>
      </w:pPr>
    </w:p>
    <w:p w:rsidR="002D0C31" w:rsidRPr="00AA113E" w:rsidRDefault="002D0C31" w:rsidP="002D0C31">
      <w:pPr>
        <w:pStyle w:val="BodyText"/>
        <w:ind w:left="770" w:hanging="784"/>
        <w:jc w:val="left"/>
        <w:rPr>
          <w:b w:val="0"/>
          <w:sz w:val="22"/>
          <w:szCs w:val="22"/>
        </w:rPr>
      </w:pPr>
      <w:r w:rsidRPr="00AA113E">
        <w:rPr>
          <w:b w:val="0"/>
          <w:sz w:val="22"/>
          <w:szCs w:val="22"/>
        </w:rPr>
        <w:t xml:space="preserve">Table </w:t>
      </w:r>
      <w:r w:rsidR="00C77767">
        <w:rPr>
          <w:b w:val="0"/>
          <w:sz w:val="22"/>
          <w:szCs w:val="22"/>
          <w:lang w:val="en-US"/>
        </w:rPr>
        <w:t>9</w:t>
      </w:r>
      <w:r w:rsidRPr="00AA113E">
        <w:rPr>
          <w:b w:val="0"/>
          <w:sz w:val="22"/>
          <w:szCs w:val="22"/>
        </w:rPr>
        <w:t xml:space="preserve">: </w:t>
      </w:r>
      <w:proofErr w:type="spellStart"/>
      <w:r w:rsidR="0085032F">
        <w:rPr>
          <w:b w:val="0"/>
          <w:sz w:val="22"/>
          <w:szCs w:val="22"/>
        </w:rPr>
        <w:t>Sortino</w:t>
      </w:r>
      <w:proofErr w:type="spellEnd"/>
      <w:r w:rsidR="0085032F">
        <w:rPr>
          <w:b w:val="0"/>
          <w:sz w:val="22"/>
          <w:szCs w:val="22"/>
        </w:rPr>
        <w:t xml:space="preserve"> c</w:t>
      </w:r>
      <w:r w:rsidR="0085032F" w:rsidRPr="00E96EA2">
        <w:rPr>
          <w:b w:val="0"/>
          <w:sz w:val="22"/>
          <w:szCs w:val="22"/>
        </w:rPr>
        <w:t>oefficient</w:t>
      </w:r>
      <w:r w:rsidR="0085032F">
        <w:rPr>
          <w:b w:val="0"/>
          <w:sz w:val="22"/>
          <w:szCs w:val="22"/>
        </w:rPr>
        <w:t xml:space="preserve">s </w:t>
      </w:r>
      <w:r w:rsidR="00BC44D5">
        <w:rPr>
          <w:b w:val="0"/>
          <w:sz w:val="22"/>
          <w:szCs w:val="22"/>
        </w:rPr>
        <w:t>for the</w:t>
      </w:r>
      <w:r w:rsidR="0085032F" w:rsidRPr="00B017B6">
        <w:rPr>
          <w:b w:val="0"/>
          <w:sz w:val="22"/>
          <w:szCs w:val="22"/>
        </w:rPr>
        <w:t xml:space="preserve"> investment and pension funds</w:t>
      </w:r>
      <w:r w:rsidR="0085032F">
        <w:rPr>
          <w:b w:val="0"/>
          <w:sz w:val="22"/>
          <w:szCs w:val="22"/>
        </w:rPr>
        <w:t xml:space="preserve"> </w:t>
      </w:r>
      <w:r w:rsidR="00BC44D5">
        <w:rPr>
          <w:b w:val="0"/>
          <w:sz w:val="22"/>
          <w:szCs w:val="22"/>
        </w:rPr>
        <w:t>in</w:t>
      </w:r>
      <w:r w:rsidR="0085032F">
        <w:rPr>
          <w:b w:val="0"/>
          <w:sz w:val="22"/>
          <w:szCs w:val="22"/>
        </w:rPr>
        <w:t xml:space="preserve"> R. Macedonia</w:t>
      </w:r>
    </w:p>
    <w:p w:rsidR="007F07E5" w:rsidRPr="00522AC1" w:rsidRDefault="007F07E5" w:rsidP="003B704F">
      <w:pPr>
        <w:autoSpaceDE w:val="0"/>
        <w:autoSpaceDN w:val="0"/>
        <w:adjustRightInd w:val="0"/>
        <w:jc w:val="both"/>
        <w:rPr>
          <w:lang w:val="mk-MK" w:eastAsia="hr-HR"/>
        </w:rPr>
      </w:pPr>
    </w:p>
    <w:p w:rsidR="007F07E5" w:rsidRDefault="006F12B8" w:rsidP="003B704F">
      <w:pPr>
        <w:autoSpaceDE w:val="0"/>
        <w:autoSpaceDN w:val="0"/>
        <w:adjustRightInd w:val="0"/>
        <w:jc w:val="both"/>
        <w:rPr>
          <w:lang w:eastAsia="hr-HR"/>
        </w:rPr>
      </w:pPr>
      <w:r w:rsidRPr="006F12B8">
        <w:rPr>
          <w:lang w:eastAsia="hr-HR"/>
        </w:rPr>
        <w:t>The omega ratio is a relative measure of the likelihood of achieving a given return, such as a minimum acceptable return (MAR) or a target return. The probability that a given return will be met or exceeded is greater when the omega value is higher. Omega represents a ratio of the cumulative probability of an investment’s outcome above an investor’s defined return level (a threshold level), to the cumulative probability of an investment’s outcome below an investor’s threshold level. The omega concept divides expected returns into two parts – gains and losses, or returns above the expected rate (the upside) and those below it (the downside). Therefore, in simple terms, consider omega as the ratio of upside returns (good) relative to downside returns (bad).</w:t>
      </w:r>
    </w:p>
    <w:p w:rsidR="007F07E5" w:rsidRPr="007F07E5" w:rsidRDefault="007F07E5" w:rsidP="007F07E5">
      <w:pPr>
        <w:jc w:val="both"/>
      </w:pPr>
      <m:oMathPara>
        <m:oMath>
          <m:r>
            <m:rPr>
              <m:sty m:val="p"/>
            </m:rPr>
            <w:rPr>
              <w:rFonts w:ascii="Cambria Math"/>
            </w:rPr>
            <m:t>Ω</m:t>
          </m:r>
          <m:r>
            <w:rPr>
              <w:rFonts w:ascii="Cambria Math"/>
            </w:rPr>
            <m:t>=</m:t>
          </m:r>
          <m:f>
            <m:fPr>
              <m:ctrlPr>
                <w:rPr>
                  <w:rFonts w:ascii="Cambria Math" w:hAnsi="Cambria Math"/>
                  <w:i/>
                </w:rPr>
              </m:ctrlPr>
            </m:fPr>
            <m:num>
              <m:nary>
                <m:naryPr>
                  <m:limLoc m:val="subSup"/>
                  <m:ctrlPr>
                    <w:rPr>
                      <w:rFonts w:ascii="Cambria Math" w:hAnsi="Cambria Math"/>
                      <w:i/>
                    </w:rPr>
                  </m:ctrlPr>
                </m:naryPr>
                <m:sub>
                  <m:r>
                    <w:rPr>
                      <w:rFonts w:ascii="Cambria Math" w:hAnsi="Cambria Math"/>
                    </w:rPr>
                    <m:t>r</m:t>
                  </m:r>
                </m:sub>
                <m:sup>
                  <m:r>
                    <w:rPr>
                      <w:rFonts w:ascii="Cambria Math" w:hAnsi="Cambria Math"/>
                    </w:rPr>
                    <m:t>b</m:t>
                  </m:r>
                </m:sup>
                <m:e>
                  <m:d>
                    <m:dPr>
                      <m:ctrlPr>
                        <w:rPr>
                          <w:rFonts w:ascii="Cambria Math" w:hAnsi="Cambria Math"/>
                          <w:i/>
                        </w:rPr>
                      </m:ctrlPr>
                    </m:dPr>
                    <m:e>
                      <m:r>
                        <w:rPr>
                          <w:rFonts w:ascii="Cambria Math"/>
                        </w:rPr>
                        <m:t>1</m:t>
                      </m:r>
                      <m:r>
                        <w:rPr>
                          <w:rFonts w:ascii="Cambria Math"/>
                        </w:rPr>
                        <m:t>-</m:t>
                      </m:r>
                      <m:r>
                        <w:rPr>
                          <w:rFonts w:ascii="Cambria Math" w:hAnsi="Cambria Math"/>
                        </w:rPr>
                        <m:t>F</m:t>
                      </m:r>
                      <m:d>
                        <m:dPr>
                          <m:ctrlPr>
                            <w:rPr>
                              <w:rFonts w:ascii="Cambria Math" w:hAnsi="Cambria Math"/>
                              <w:i/>
                            </w:rPr>
                          </m:ctrlPr>
                        </m:dPr>
                        <m:e>
                          <m:r>
                            <w:rPr>
                              <w:rFonts w:ascii="Cambria Math" w:hAnsi="Cambria Math"/>
                            </w:rPr>
                            <m:t>x</m:t>
                          </m:r>
                        </m:e>
                      </m:d>
                    </m:e>
                  </m:d>
                  <m:r>
                    <w:rPr>
                      <w:rFonts w:ascii="Cambria Math" w:hAnsi="Cambria Math"/>
                    </w:rPr>
                    <m:t>dx</m:t>
                  </m:r>
                </m:e>
              </m:nary>
            </m:num>
            <m:den>
              <m:nary>
                <m:naryPr>
                  <m:limLoc m:val="subSup"/>
                  <m:ctrlPr>
                    <w:rPr>
                      <w:rFonts w:ascii="Cambria Math" w:hAnsi="Cambria Math"/>
                      <w:i/>
                    </w:rPr>
                  </m:ctrlPr>
                </m:naryPr>
                <m:sub>
                  <m:r>
                    <w:rPr>
                      <w:rFonts w:ascii="Cambria Math" w:hAnsi="Cambria Math"/>
                    </w:rPr>
                    <m:t>a</m:t>
                  </m:r>
                </m:sub>
                <m:sup>
                  <m:r>
                    <w:rPr>
                      <w:rFonts w:ascii="Cambria Math" w:hAnsi="Cambria Math"/>
                    </w:rPr>
                    <m:t>r</m:t>
                  </m:r>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dx</m:t>
                  </m:r>
                </m:e>
              </m:nary>
            </m:den>
          </m:f>
        </m:oMath>
      </m:oMathPara>
    </w:p>
    <w:p w:rsidR="007F07E5" w:rsidRDefault="007F07E5" w:rsidP="007F07E5">
      <w:pPr>
        <w:autoSpaceDE w:val="0"/>
        <w:autoSpaceDN w:val="0"/>
        <w:adjustRightInd w:val="0"/>
        <w:jc w:val="both"/>
        <w:rPr>
          <w:lang w:eastAsia="hr-HR"/>
        </w:rPr>
      </w:pPr>
      <w:r>
        <w:rPr>
          <w:lang w:eastAsia="hr-HR"/>
        </w:rPr>
        <w:t xml:space="preserve">Where </w:t>
      </w:r>
    </w:p>
    <w:p w:rsidR="007F07E5" w:rsidRDefault="007F07E5" w:rsidP="007F07E5">
      <w:pPr>
        <w:autoSpaceDE w:val="0"/>
        <w:autoSpaceDN w:val="0"/>
        <w:adjustRightInd w:val="0"/>
        <w:jc w:val="both"/>
        <w:rPr>
          <w:lang w:eastAsia="hr-HR"/>
        </w:rPr>
      </w:pPr>
      <w:proofErr w:type="gramStart"/>
      <w:r>
        <w:rPr>
          <w:lang w:eastAsia="hr-HR"/>
        </w:rPr>
        <w:t>r</w:t>
      </w:r>
      <w:proofErr w:type="gramEnd"/>
      <w:r>
        <w:rPr>
          <w:lang w:eastAsia="hr-HR"/>
        </w:rPr>
        <w:t xml:space="preserve"> is the threshold return, and </w:t>
      </w:r>
    </w:p>
    <w:p w:rsidR="007F07E5" w:rsidRDefault="007F07E5" w:rsidP="007F07E5">
      <w:pPr>
        <w:autoSpaceDE w:val="0"/>
        <w:autoSpaceDN w:val="0"/>
        <w:adjustRightInd w:val="0"/>
        <w:jc w:val="both"/>
        <w:rPr>
          <w:lang w:eastAsia="hr-HR"/>
        </w:rPr>
      </w:pPr>
      <w:r>
        <w:rPr>
          <w:lang w:eastAsia="hr-HR"/>
        </w:rPr>
        <w:t>F is cumulative density function of returns.</w:t>
      </w:r>
      <w:r w:rsidR="00DD555C">
        <w:rPr>
          <w:rStyle w:val="FootnoteReference"/>
          <w:lang w:eastAsia="hr-HR"/>
        </w:rPr>
        <w:footnoteReference w:id="8"/>
      </w:r>
    </w:p>
    <w:p w:rsidR="006F12B8" w:rsidRDefault="006F12B8" w:rsidP="007F07E5">
      <w:pPr>
        <w:autoSpaceDE w:val="0"/>
        <w:autoSpaceDN w:val="0"/>
        <w:adjustRightInd w:val="0"/>
        <w:jc w:val="both"/>
        <w:rPr>
          <w:lang w:eastAsia="hr-HR"/>
        </w:rPr>
      </w:pPr>
      <w:r w:rsidRPr="006F12B8">
        <w:rPr>
          <w:lang w:eastAsia="hr-HR"/>
        </w:rPr>
        <w:t>There are several ways to estimate the risk of not achieving a given return, but most of them assume that returns are normally distributed. However, as stated above, investment returns are not normally distributed, as they tend to be skewed or “fat-tailed” (i.e., there are more extreme returns than implied by the theoretical normal distribution). The omega calculations are important as they use the actual return distribution rather than a theoretical normal distribution. Thereby the omega ratio and its components more accurately reflect the historical experience of the investment being measured.</w:t>
      </w:r>
    </w:p>
    <w:p w:rsidR="007F07E5" w:rsidRDefault="006F12B8" w:rsidP="007F07E5">
      <w:pPr>
        <w:autoSpaceDE w:val="0"/>
        <w:autoSpaceDN w:val="0"/>
        <w:adjustRightInd w:val="0"/>
        <w:jc w:val="both"/>
        <w:rPr>
          <w:lang w:eastAsia="hr-HR"/>
        </w:rPr>
      </w:pPr>
      <w:r w:rsidRPr="006F12B8">
        <w:rPr>
          <w:lang w:eastAsia="hr-HR"/>
        </w:rPr>
        <w:t>Since omega considers all information available from an investment’s historical return data, it can be used to rank potential investments in a manner specific to the investor’s threshold level. However, the omega decisions are variable for at least two reasons:</w:t>
      </w:r>
      <w:r w:rsidR="00F90E3D">
        <w:rPr>
          <w:rStyle w:val="FootnoteReference"/>
          <w:lang w:eastAsia="hr-HR"/>
        </w:rPr>
        <w:footnoteReference w:id="9"/>
      </w:r>
    </w:p>
    <w:p w:rsidR="006F12B8" w:rsidRPr="006F12B8" w:rsidRDefault="006F12B8" w:rsidP="007F07E5">
      <w:pPr>
        <w:autoSpaceDE w:val="0"/>
        <w:autoSpaceDN w:val="0"/>
        <w:adjustRightInd w:val="0"/>
        <w:jc w:val="both"/>
        <w:rPr>
          <w:lang w:eastAsia="hr-HR"/>
        </w:rPr>
      </w:pPr>
    </w:p>
    <w:p w:rsidR="006F12B8" w:rsidRDefault="006F12B8" w:rsidP="006F12B8">
      <w:pPr>
        <w:pStyle w:val="ListParagraph"/>
        <w:numPr>
          <w:ilvl w:val="0"/>
          <w:numId w:val="25"/>
        </w:numPr>
        <w:autoSpaceDE w:val="0"/>
        <w:autoSpaceDN w:val="0"/>
        <w:adjustRightInd w:val="0"/>
        <w:jc w:val="both"/>
        <w:rPr>
          <w:lang w:eastAsia="hr-HR"/>
        </w:rPr>
      </w:pPr>
      <w:r>
        <w:rPr>
          <w:lang w:eastAsia="hr-HR"/>
        </w:rPr>
        <w:t xml:space="preserve">As return information is updated, the probability distribution will change and omega must be updated. </w:t>
      </w:r>
    </w:p>
    <w:p w:rsidR="007F07E5" w:rsidRPr="006F12B8" w:rsidRDefault="006F12B8" w:rsidP="006F12B8">
      <w:pPr>
        <w:pStyle w:val="ListParagraph"/>
        <w:numPr>
          <w:ilvl w:val="0"/>
          <w:numId w:val="25"/>
        </w:numPr>
        <w:autoSpaceDE w:val="0"/>
        <w:autoSpaceDN w:val="0"/>
        <w:adjustRightInd w:val="0"/>
        <w:jc w:val="both"/>
        <w:rPr>
          <w:lang w:eastAsia="hr-HR"/>
        </w:rPr>
      </w:pPr>
      <w:r>
        <w:rPr>
          <w:lang w:eastAsia="hr-HR"/>
        </w:rPr>
        <w:t>As an investor’s threshold level changes, the rankings among comparative investments may change.</w:t>
      </w:r>
    </w:p>
    <w:p w:rsidR="006F12B8" w:rsidRPr="006F12B8" w:rsidRDefault="006F12B8" w:rsidP="006F12B8">
      <w:pPr>
        <w:autoSpaceDE w:val="0"/>
        <w:autoSpaceDN w:val="0"/>
        <w:adjustRightInd w:val="0"/>
        <w:jc w:val="both"/>
        <w:rPr>
          <w:lang w:eastAsia="hr-HR"/>
        </w:rPr>
      </w:pPr>
    </w:p>
    <w:p w:rsidR="006F12B8" w:rsidRDefault="006F12B8" w:rsidP="006F12B8">
      <w:pPr>
        <w:autoSpaceDE w:val="0"/>
        <w:autoSpaceDN w:val="0"/>
        <w:adjustRightInd w:val="0"/>
        <w:jc w:val="both"/>
        <w:rPr>
          <w:lang w:eastAsia="hr-HR"/>
        </w:rPr>
      </w:pPr>
      <w:r>
        <w:rPr>
          <w:lang w:eastAsia="hr-HR"/>
        </w:rPr>
        <w:t>Consequently, omega allows investors to visualize the trade-off between risk and return at different threshold levels for various investment choices. Note that the omega ratio equals 1 when the threshold is set to the mean of the distribution.</w:t>
      </w:r>
    </w:p>
    <w:p w:rsidR="007F07E5" w:rsidRDefault="006F12B8" w:rsidP="006F12B8">
      <w:pPr>
        <w:autoSpaceDE w:val="0"/>
        <w:autoSpaceDN w:val="0"/>
        <w:adjustRightInd w:val="0"/>
        <w:jc w:val="both"/>
        <w:rPr>
          <w:lang w:val="mk-MK" w:eastAsia="hr-HR"/>
        </w:rPr>
      </w:pPr>
      <w:r>
        <w:rPr>
          <w:lang w:eastAsia="hr-HR"/>
        </w:rPr>
        <w:t>The Omega ratio is a useful investment tool because it can be used in a compact way to show how different investment options relate to a target return and to a MAR.</w:t>
      </w:r>
    </w:p>
    <w:p w:rsidR="00522AC1" w:rsidRPr="00522AC1" w:rsidRDefault="00522AC1" w:rsidP="006F12B8">
      <w:pPr>
        <w:autoSpaceDE w:val="0"/>
        <w:autoSpaceDN w:val="0"/>
        <w:adjustRightInd w:val="0"/>
        <w:jc w:val="both"/>
        <w:rPr>
          <w:lang w:val="mk-MK" w:eastAsia="hr-HR"/>
        </w:rPr>
      </w:pPr>
    </w:p>
    <w:p w:rsidR="007F07E5" w:rsidRDefault="007F07E5" w:rsidP="007F07E5">
      <w:pPr>
        <w:autoSpaceDE w:val="0"/>
        <w:autoSpaceDN w:val="0"/>
        <w:adjustRightInd w:val="0"/>
        <w:jc w:val="both"/>
        <w:rPr>
          <w:lang w:val="mk-MK" w:eastAsia="hr-HR"/>
        </w:rPr>
      </w:pPr>
      <w:r w:rsidRPr="007F07E5">
        <w:rPr>
          <w:noProof/>
          <w:lang w:val="mk-MK" w:eastAsia="mk-MK"/>
        </w:rPr>
        <w:drawing>
          <wp:inline distT="0" distB="0" distL="0" distR="0">
            <wp:extent cx="5731510" cy="555096"/>
            <wp:effectExtent l="19050" t="0" r="254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grayscl/>
                    </a:blip>
                    <a:srcRect/>
                    <a:stretch>
                      <a:fillRect/>
                    </a:stretch>
                  </pic:blipFill>
                  <pic:spPr bwMode="auto">
                    <a:xfrm>
                      <a:off x="0" y="0"/>
                      <a:ext cx="5731510" cy="555096"/>
                    </a:xfrm>
                    <a:prstGeom prst="rect">
                      <a:avLst/>
                    </a:prstGeom>
                    <a:noFill/>
                    <a:ln w="9525">
                      <a:noFill/>
                      <a:miter lim="800000"/>
                      <a:headEnd/>
                      <a:tailEnd/>
                    </a:ln>
                  </pic:spPr>
                </pic:pic>
              </a:graphicData>
            </a:graphic>
          </wp:inline>
        </w:drawing>
      </w:r>
    </w:p>
    <w:p w:rsidR="00522AC1" w:rsidRDefault="00522AC1" w:rsidP="00522AC1">
      <w:pPr>
        <w:pStyle w:val="BodyText"/>
        <w:ind w:left="770" w:hanging="784"/>
        <w:jc w:val="left"/>
        <w:rPr>
          <w:b w:val="0"/>
          <w:sz w:val="22"/>
          <w:szCs w:val="22"/>
          <w:lang w:val="mk-MK"/>
        </w:rPr>
      </w:pPr>
    </w:p>
    <w:p w:rsidR="00522AC1" w:rsidRPr="00AA113E" w:rsidRDefault="00522AC1" w:rsidP="00522AC1">
      <w:pPr>
        <w:pStyle w:val="BodyText"/>
        <w:ind w:left="770" w:hanging="784"/>
        <w:jc w:val="left"/>
        <w:rPr>
          <w:b w:val="0"/>
          <w:sz w:val="22"/>
          <w:szCs w:val="22"/>
        </w:rPr>
      </w:pPr>
      <w:r w:rsidRPr="00AA113E">
        <w:rPr>
          <w:b w:val="0"/>
          <w:sz w:val="22"/>
          <w:szCs w:val="22"/>
        </w:rPr>
        <w:t xml:space="preserve">Table </w:t>
      </w:r>
      <w:r w:rsidR="00C77767">
        <w:rPr>
          <w:b w:val="0"/>
          <w:sz w:val="22"/>
          <w:szCs w:val="22"/>
          <w:lang w:val="en-US"/>
        </w:rPr>
        <w:t>10</w:t>
      </w:r>
      <w:r w:rsidRPr="00AA113E">
        <w:rPr>
          <w:b w:val="0"/>
          <w:sz w:val="22"/>
          <w:szCs w:val="22"/>
        </w:rPr>
        <w:t xml:space="preserve">: </w:t>
      </w:r>
      <w:r w:rsidR="0085032F">
        <w:rPr>
          <w:b w:val="0"/>
          <w:sz w:val="22"/>
          <w:szCs w:val="22"/>
        </w:rPr>
        <w:t>Omega c</w:t>
      </w:r>
      <w:r w:rsidR="0085032F" w:rsidRPr="00E96EA2">
        <w:rPr>
          <w:b w:val="0"/>
          <w:sz w:val="22"/>
          <w:szCs w:val="22"/>
        </w:rPr>
        <w:t>oefficient</w:t>
      </w:r>
      <w:r w:rsidR="0085032F">
        <w:rPr>
          <w:b w:val="0"/>
          <w:sz w:val="22"/>
          <w:szCs w:val="22"/>
        </w:rPr>
        <w:t xml:space="preserve">s </w:t>
      </w:r>
      <w:r w:rsidR="00BC44D5">
        <w:rPr>
          <w:b w:val="0"/>
          <w:sz w:val="22"/>
          <w:szCs w:val="22"/>
        </w:rPr>
        <w:t>for the</w:t>
      </w:r>
      <w:r w:rsidR="0085032F" w:rsidRPr="00B017B6">
        <w:rPr>
          <w:b w:val="0"/>
          <w:sz w:val="22"/>
          <w:szCs w:val="22"/>
        </w:rPr>
        <w:t xml:space="preserve"> investment and pension funds</w:t>
      </w:r>
      <w:r w:rsidR="0085032F">
        <w:rPr>
          <w:b w:val="0"/>
          <w:sz w:val="22"/>
          <w:szCs w:val="22"/>
        </w:rPr>
        <w:t xml:space="preserve"> </w:t>
      </w:r>
      <w:r w:rsidR="00BC44D5">
        <w:rPr>
          <w:b w:val="0"/>
          <w:sz w:val="22"/>
          <w:szCs w:val="22"/>
        </w:rPr>
        <w:t>in</w:t>
      </w:r>
      <w:r w:rsidR="0085032F">
        <w:rPr>
          <w:b w:val="0"/>
          <w:sz w:val="22"/>
          <w:szCs w:val="22"/>
        </w:rPr>
        <w:t xml:space="preserve"> R. Macedonia</w:t>
      </w:r>
    </w:p>
    <w:p w:rsidR="007F07E5" w:rsidRPr="00522AC1" w:rsidRDefault="007F07E5" w:rsidP="007F07E5">
      <w:pPr>
        <w:autoSpaceDE w:val="0"/>
        <w:autoSpaceDN w:val="0"/>
        <w:adjustRightInd w:val="0"/>
        <w:jc w:val="both"/>
        <w:rPr>
          <w:lang w:val="mk-MK" w:eastAsia="hr-HR"/>
        </w:rPr>
      </w:pPr>
    </w:p>
    <w:p w:rsidR="006F12B8" w:rsidRDefault="006F12B8" w:rsidP="007F07E5">
      <w:pPr>
        <w:autoSpaceDE w:val="0"/>
        <w:autoSpaceDN w:val="0"/>
        <w:adjustRightInd w:val="0"/>
        <w:jc w:val="both"/>
        <w:rPr>
          <w:lang w:eastAsia="hr-HR"/>
        </w:rPr>
      </w:pPr>
      <w:r w:rsidRPr="006F12B8">
        <w:rPr>
          <w:lang w:eastAsia="hr-HR"/>
        </w:rPr>
        <w:t>Because the Sharpe ratio is calculated from return data that has been averaged or annualized, the resulting ranking of the investments do not include higher levels of information specific to the shape of the distribution of the underlying return data. As a result, it is reasonable to conclude that the observed differences in rankings are due to the higher levels of information contained in the Omega calculations. In effect, Omega as a risk-adjusted measure provides investors with additional information to better understand the risk/reward characteristics encapsulated within an investment’s historic returns.</w:t>
      </w:r>
    </w:p>
    <w:p w:rsidR="006F12B8" w:rsidRDefault="006F12B8" w:rsidP="006F12B8">
      <w:pPr>
        <w:rPr>
          <w:lang w:eastAsia="hr-HR"/>
        </w:rPr>
      </w:pPr>
      <w:r>
        <w:rPr>
          <w:lang w:eastAsia="hr-HR"/>
        </w:rPr>
        <w:t xml:space="preserve">Drawdown analysis can be an excellent way to screen investments. A Maximum Drawdown is the maximum amount of loss from </w:t>
      </w:r>
      <w:proofErr w:type="gramStart"/>
      <w:r>
        <w:rPr>
          <w:lang w:eastAsia="hr-HR"/>
        </w:rPr>
        <w:t>an equity</w:t>
      </w:r>
      <w:proofErr w:type="gramEnd"/>
      <w:r>
        <w:rPr>
          <w:lang w:eastAsia="hr-HR"/>
        </w:rPr>
        <w:t xml:space="preserve"> high through the drawdown and back to the point the equity high is reached again. There could be many drawdowns over a given date range and will be listed starting with the maximum drawdown.</w:t>
      </w:r>
    </w:p>
    <w:p w:rsidR="006F12B8" w:rsidRDefault="006F12B8" w:rsidP="006F12B8">
      <w:pPr>
        <w:rPr>
          <w:lang w:eastAsia="hr-HR"/>
        </w:rPr>
      </w:pPr>
      <w:r>
        <w:rPr>
          <w:lang w:eastAsia="hr-HR"/>
        </w:rPr>
        <w:t>The reasons for a drawdown can be numerous, from market stress, giving back part of unrealized profits after a large increase in equity, or to just poor trading. From a quantitative perspective, though, it is important to analyze the reasons that caused a particular drawdown, and not exclude a fund based on just absolute numbers.</w:t>
      </w:r>
    </w:p>
    <w:p w:rsidR="006F12B8" w:rsidRDefault="006F12B8" w:rsidP="006F12B8">
      <w:pPr>
        <w:rPr>
          <w:lang w:eastAsia="hr-HR"/>
        </w:rPr>
      </w:pPr>
      <w:r>
        <w:rPr>
          <w:lang w:eastAsia="hr-HR"/>
        </w:rPr>
        <w:t>The Calmar and Sterling ratios provide additional comparative information for a risk-adjusted assessment of drawdown analysis.</w:t>
      </w:r>
      <w:r w:rsidR="00F54FD2">
        <w:rPr>
          <w:rStyle w:val="FootnoteReference"/>
          <w:lang w:eastAsia="hr-HR"/>
        </w:rPr>
        <w:footnoteReference w:id="10"/>
      </w:r>
    </w:p>
    <w:p w:rsidR="00522AC1" w:rsidRDefault="00522AC1" w:rsidP="00FC305A">
      <w:pPr>
        <w:rPr>
          <w:b/>
          <w:lang w:val="mk-MK"/>
        </w:rPr>
      </w:pPr>
    </w:p>
    <w:p w:rsidR="007F07E5" w:rsidRPr="00B261D2" w:rsidRDefault="007F07E5" w:rsidP="00FC305A">
      <w:pPr>
        <w:rPr>
          <w:b/>
        </w:rPr>
      </w:pPr>
      <w:proofErr w:type="spellStart"/>
      <w:proofErr w:type="gramStart"/>
      <w:r w:rsidRPr="00B261D2">
        <w:rPr>
          <w:b/>
        </w:rPr>
        <w:t>lirika</w:t>
      </w:r>
      <w:proofErr w:type="spellEnd"/>
      <w:proofErr w:type="gramEnd"/>
      <w:r w:rsidRPr="00B261D2">
        <w:rPr>
          <w:b/>
        </w:rPr>
        <w:t xml:space="preserve"> Global</w:t>
      </w:r>
    </w:p>
    <w:p w:rsidR="00FC305A" w:rsidRPr="00522AC1" w:rsidRDefault="007F07E5" w:rsidP="00522AC1">
      <w:pPr>
        <w:autoSpaceDE w:val="0"/>
        <w:autoSpaceDN w:val="0"/>
        <w:adjustRightInd w:val="0"/>
        <w:jc w:val="both"/>
        <w:rPr>
          <w:lang w:val="mk-MK" w:eastAsia="hr-HR"/>
        </w:rPr>
      </w:pPr>
      <w:r w:rsidRPr="007F07E5">
        <w:rPr>
          <w:noProof/>
          <w:lang w:val="mk-MK" w:eastAsia="mk-MK"/>
        </w:rPr>
        <w:drawing>
          <wp:inline distT="0" distB="0" distL="0" distR="0">
            <wp:extent cx="1620000" cy="1631160"/>
            <wp:effectExtent l="1905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grayscl/>
                    </a:blip>
                    <a:srcRect/>
                    <a:stretch>
                      <a:fillRect/>
                    </a:stretch>
                  </pic:blipFill>
                  <pic:spPr bwMode="auto">
                    <a:xfrm>
                      <a:off x="0" y="0"/>
                      <a:ext cx="1620000" cy="1631160"/>
                    </a:xfrm>
                    <a:prstGeom prst="rect">
                      <a:avLst/>
                    </a:prstGeom>
                    <a:noFill/>
                    <a:ln w="9525">
                      <a:noFill/>
                      <a:miter lim="800000"/>
                      <a:headEnd/>
                      <a:tailEnd/>
                    </a:ln>
                  </pic:spPr>
                </pic:pic>
              </a:graphicData>
            </a:graphic>
          </wp:inline>
        </w:drawing>
      </w:r>
      <w:r w:rsidRPr="007F07E5">
        <w:rPr>
          <w:noProof/>
          <w:lang w:val="mk-MK" w:eastAsia="mk-MK"/>
        </w:rPr>
        <w:drawing>
          <wp:inline distT="0" distB="0" distL="0" distR="0">
            <wp:extent cx="3971317" cy="1800000"/>
            <wp:effectExtent l="19050" t="0" r="10133" b="0"/>
            <wp:docPr id="2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E730E" w:rsidRDefault="00EE730E" w:rsidP="00B261D2">
      <w:pPr>
        <w:rPr>
          <w:b/>
        </w:rPr>
      </w:pPr>
    </w:p>
    <w:p w:rsidR="00EE730E" w:rsidRDefault="00EE730E" w:rsidP="00B261D2">
      <w:pPr>
        <w:rPr>
          <w:b/>
        </w:rPr>
      </w:pPr>
    </w:p>
    <w:p w:rsidR="00B261D2" w:rsidRPr="00B261D2" w:rsidRDefault="00B261D2" w:rsidP="00B261D2">
      <w:pPr>
        <w:rPr>
          <w:b/>
        </w:rPr>
      </w:pPr>
      <w:proofErr w:type="spellStart"/>
      <w:r w:rsidRPr="00B261D2">
        <w:rPr>
          <w:b/>
        </w:rPr>
        <w:t>Ilirika</w:t>
      </w:r>
      <w:proofErr w:type="spellEnd"/>
      <w:r w:rsidRPr="00B261D2">
        <w:rPr>
          <w:b/>
        </w:rPr>
        <w:t xml:space="preserve"> Southeast Europe</w:t>
      </w:r>
    </w:p>
    <w:p w:rsidR="00B261D2" w:rsidRDefault="00B261D2" w:rsidP="00B261D2">
      <w:pPr>
        <w:rPr>
          <w:noProof/>
          <w:lang w:eastAsia="mk-MK"/>
        </w:rPr>
      </w:pPr>
      <w:r w:rsidRPr="007261F9">
        <w:rPr>
          <w:noProof/>
          <w:lang w:val="mk-MK" w:eastAsia="mk-MK"/>
        </w:rPr>
        <w:drawing>
          <wp:inline distT="0" distB="0" distL="0" distR="0">
            <wp:extent cx="1609129" cy="1620000"/>
            <wp:effectExtent l="19050" t="0" r="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grayscl/>
                    </a:blip>
                    <a:srcRect/>
                    <a:stretch>
                      <a:fillRect/>
                    </a:stretch>
                  </pic:blipFill>
                  <pic:spPr bwMode="auto">
                    <a:xfrm>
                      <a:off x="0" y="0"/>
                      <a:ext cx="1609129" cy="1620000"/>
                    </a:xfrm>
                    <a:prstGeom prst="rect">
                      <a:avLst/>
                    </a:prstGeom>
                    <a:noFill/>
                    <a:ln w="9525">
                      <a:noFill/>
                      <a:miter lim="800000"/>
                      <a:headEnd/>
                      <a:tailEnd/>
                    </a:ln>
                  </pic:spPr>
                </pic:pic>
              </a:graphicData>
            </a:graphic>
          </wp:inline>
        </w:drawing>
      </w:r>
      <w:r w:rsidRPr="007261F9">
        <w:rPr>
          <w:noProof/>
          <w:lang w:eastAsia="mk-MK"/>
        </w:rPr>
        <w:t xml:space="preserve"> </w:t>
      </w:r>
      <w:r>
        <w:rPr>
          <w:noProof/>
          <w:lang w:eastAsia="mk-MK"/>
        </w:rPr>
        <w:t xml:space="preserve">  </w:t>
      </w:r>
      <w:r w:rsidRPr="007261F9">
        <w:rPr>
          <w:rFonts w:ascii="Arial" w:hAnsi="Arial" w:cs="Arial"/>
          <w:noProof/>
          <w:lang w:val="mk-MK" w:eastAsia="mk-MK"/>
        </w:rPr>
        <w:drawing>
          <wp:inline distT="0" distB="0" distL="0" distR="0">
            <wp:extent cx="3924000" cy="1799369"/>
            <wp:effectExtent l="19050" t="0" r="19350" b="0"/>
            <wp:docPr id="2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261D2" w:rsidRDefault="00B261D2" w:rsidP="00B261D2">
      <w:pPr>
        <w:ind w:firstLine="720"/>
        <w:rPr>
          <w:rFonts w:ascii="Arial" w:hAnsi="Arial" w:cs="Arial"/>
          <w:sz w:val="20"/>
        </w:rPr>
      </w:pPr>
    </w:p>
    <w:p w:rsidR="00B261D2" w:rsidRPr="00B261D2" w:rsidRDefault="00B261D2" w:rsidP="00FC305A">
      <w:pPr>
        <w:rPr>
          <w:b/>
        </w:rPr>
      </w:pPr>
      <w:proofErr w:type="spellStart"/>
      <w:r w:rsidRPr="00B261D2">
        <w:rPr>
          <w:b/>
        </w:rPr>
        <w:t>Innovo</w:t>
      </w:r>
      <w:proofErr w:type="spellEnd"/>
      <w:r w:rsidRPr="00B261D2">
        <w:rPr>
          <w:b/>
        </w:rPr>
        <w:t xml:space="preserve"> Status </w:t>
      </w:r>
      <w:proofErr w:type="spellStart"/>
      <w:r w:rsidRPr="00B261D2">
        <w:rPr>
          <w:b/>
        </w:rPr>
        <w:t>Akcii</w:t>
      </w:r>
      <w:proofErr w:type="spellEnd"/>
    </w:p>
    <w:p w:rsidR="00B261D2" w:rsidRDefault="00B261D2" w:rsidP="00B261D2">
      <w:pPr>
        <w:rPr>
          <w:rFonts w:ascii="Arial" w:hAnsi="Arial" w:cs="Arial"/>
        </w:rPr>
      </w:pPr>
      <w:r w:rsidRPr="009609FE">
        <w:rPr>
          <w:noProof/>
          <w:lang w:val="mk-MK" w:eastAsia="mk-MK"/>
        </w:rPr>
        <w:drawing>
          <wp:inline distT="0" distB="0" distL="0" distR="0">
            <wp:extent cx="1714500" cy="1724025"/>
            <wp:effectExtent l="19050" t="0" r="0" b="0"/>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grayscl/>
                    </a:blip>
                    <a:srcRect/>
                    <a:stretch>
                      <a:fillRect/>
                    </a:stretch>
                  </pic:blipFill>
                  <pic:spPr bwMode="auto">
                    <a:xfrm>
                      <a:off x="0" y="0"/>
                      <a:ext cx="1714500" cy="1724025"/>
                    </a:xfrm>
                    <a:prstGeom prst="rect">
                      <a:avLst/>
                    </a:prstGeom>
                    <a:noFill/>
                    <a:ln w="9525">
                      <a:noFill/>
                      <a:miter lim="800000"/>
                      <a:headEnd/>
                      <a:tailEnd/>
                    </a:ln>
                  </pic:spPr>
                </pic:pic>
              </a:graphicData>
            </a:graphic>
          </wp:inline>
        </w:drawing>
      </w:r>
      <w:r w:rsidRPr="009609FE">
        <w:rPr>
          <w:noProof/>
          <w:lang w:eastAsia="mk-MK"/>
        </w:rPr>
        <w:t xml:space="preserve"> </w:t>
      </w:r>
      <w:r w:rsidRPr="009609FE">
        <w:rPr>
          <w:rFonts w:ascii="Arial" w:hAnsi="Arial" w:cs="Arial"/>
          <w:noProof/>
          <w:lang w:val="mk-MK" w:eastAsia="mk-MK"/>
        </w:rPr>
        <w:drawing>
          <wp:inline distT="0" distB="0" distL="0" distR="0">
            <wp:extent cx="3888000" cy="1798707"/>
            <wp:effectExtent l="19050" t="0" r="17250" b="0"/>
            <wp:docPr id="3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261D2" w:rsidRDefault="00B261D2" w:rsidP="00B261D2">
      <w:pPr>
        <w:tabs>
          <w:tab w:val="left" w:pos="1615"/>
        </w:tabs>
        <w:rPr>
          <w:rFonts w:ascii="Arial" w:hAnsi="Arial" w:cs="Arial"/>
          <w:sz w:val="20"/>
        </w:rPr>
      </w:pPr>
    </w:p>
    <w:p w:rsidR="00B261D2" w:rsidRPr="00B261D2" w:rsidRDefault="00B261D2" w:rsidP="00B261D2">
      <w:pPr>
        <w:tabs>
          <w:tab w:val="left" w:pos="1615"/>
        </w:tabs>
        <w:rPr>
          <w:b/>
        </w:rPr>
      </w:pPr>
      <w:r w:rsidRPr="00B261D2">
        <w:rPr>
          <w:b/>
        </w:rPr>
        <w:t>KB Voluntary Pension Fund</w:t>
      </w:r>
    </w:p>
    <w:p w:rsidR="00B261D2" w:rsidRDefault="00B261D2" w:rsidP="00B261D2">
      <w:pPr>
        <w:tabs>
          <w:tab w:val="left" w:pos="1615"/>
        </w:tabs>
        <w:rPr>
          <w:rFonts w:ascii="Arial" w:hAnsi="Arial" w:cs="Arial"/>
        </w:rPr>
      </w:pPr>
      <w:r w:rsidRPr="009609FE">
        <w:rPr>
          <w:noProof/>
          <w:lang w:val="mk-MK" w:eastAsia="mk-MK"/>
        </w:rPr>
        <w:drawing>
          <wp:inline distT="0" distB="0" distL="0" distR="0">
            <wp:extent cx="1717675" cy="1725295"/>
            <wp:effectExtent l="1905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grayscl/>
                    </a:blip>
                    <a:srcRect/>
                    <a:stretch>
                      <a:fillRect/>
                    </a:stretch>
                  </pic:blipFill>
                  <pic:spPr bwMode="auto">
                    <a:xfrm>
                      <a:off x="0" y="0"/>
                      <a:ext cx="1717675" cy="1725295"/>
                    </a:xfrm>
                    <a:prstGeom prst="rect">
                      <a:avLst/>
                    </a:prstGeom>
                    <a:noFill/>
                    <a:ln w="9525">
                      <a:noFill/>
                      <a:miter lim="800000"/>
                      <a:headEnd/>
                      <a:tailEnd/>
                    </a:ln>
                  </pic:spPr>
                </pic:pic>
              </a:graphicData>
            </a:graphic>
          </wp:inline>
        </w:drawing>
      </w:r>
      <w:r w:rsidRPr="009609FE">
        <w:rPr>
          <w:noProof/>
          <w:lang w:eastAsia="mk-MK"/>
        </w:rPr>
        <w:t xml:space="preserve"> </w:t>
      </w:r>
      <w:r w:rsidRPr="009609FE">
        <w:rPr>
          <w:rFonts w:ascii="Arial" w:hAnsi="Arial" w:cs="Arial"/>
          <w:noProof/>
          <w:lang w:val="mk-MK" w:eastAsia="mk-MK"/>
        </w:rPr>
        <w:drawing>
          <wp:inline distT="0" distB="0" distL="0" distR="0">
            <wp:extent cx="3888000" cy="1798706"/>
            <wp:effectExtent l="19050" t="0" r="17250" b="0"/>
            <wp:docPr id="3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261D2" w:rsidRDefault="00B261D2" w:rsidP="00B261D2">
      <w:pPr>
        <w:tabs>
          <w:tab w:val="left" w:pos="1052"/>
        </w:tabs>
        <w:rPr>
          <w:rFonts w:ascii="Arial" w:hAnsi="Arial" w:cs="Arial"/>
          <w:sz w:val="20"/>
        </w:rPr>
      </w:pPr>
    </w:p>
    <w:p w:rsidR="00B261D2" w:rsidRPr="00B261D2" w:rsidRDefault="00B261D2" w:rsidP="00B261D2">
      <w:pPr>
        <w:tabs>
          <w:tab w:val="left" w:pos="1052"/>
        </w:tabs>
        <w:rPr>
          <w:b/>
        </w:rPr>
      </w:pPr>
      <w:r w:rsidRPr="00B261D2">
        <w:rPr>
          <w:b/>
        </w:rPr>
        <w:t>KB Mandatory Pension Fund</w:t>
      </w:r>
    </w:p>
    <w:p w:rsidR="00B261D2" w:rsidRDefault="00B261D2" w:rsidP="00B261D2">
      <w:pPr>
        <w:tabs>
          <w:tab w:val="left" w:pos="1052"/>
        </w:tabs>
        <w:rPr>
          <w:rFonts w:ascii="Arial" w:hAnsi="Arial" w:cs="Arial"/>
        </w:rPr>
      </w:pPr>
      <w:r w:rsidRPr="0039503A">
        <w:rPr>
          <w:noProof/>
          <w:lang w:val="mk-MK" w:eastAsia="mk-MK"/>
        </w:rPr>
        <w:drawing>
          <wp:inline distT="0" distB="0" distL="0" distR="0">
            <wp:extent cx="1717675" cy="1725295"/>
            <wp:effectExtent l="19050" t="0" r="0" b="0"/>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grayscl/>
                    </a:blip>
                    <a:srcRect/>
                    <a:stretch>
                      <a:fillRect/>
                    </a:stretch>
                  </pic:blipFill>
                  <pic:spPr bwMode="auto">
                    <a:xfrm>
                      <a:off x="0" y="0"/>
                      <a:ext cx="1717675" cy="1725295"/>
                    </a:xfrm>
                    <a:prstGeom prst="rect">
                      <a:avLst/>
                    </a:prstGeom>
                    <a:noFill/>
                    <a:ln w="9525">
                      <a:noFill/>
                      <a:miter lim="800000"/>
                      <a:headEnd/>
                      <a:tailEnd/>
                    </a:ln>
                  </pic:spPr>
                </pic:pic>
              </a:graphicData>
            </a:graphic>
          </wp:inline>
        </w:drawing>
      </w:r>
      <w:r w:rsidRPr="0039503A">
        <w:rPr>
          <w:noProof/>
          <w:lang w:eastAsia="mk-MK"/>
        </w:rPr>
        <w:t xml:space="preserve"> </w:t>
      </w:r>
      <w:r w:rsidRPr="0039503A">
        <w:rPr>
          <w:rFonts w:ascii="Arial" w:hAnsi="Arial" w:cs="Arial"/>
          <w:noProof/>
          <w:lang w:val="mk-MK" w:eastAsia="mk-MK"/>
        </w:rPr>
        <w:drawing>
          <wp:inline distT="0" distB="0" distL="0" distR="0">
            <wp:extent cx="3888000" cy="1800611"/>
            <wp:effectExtent l="19050" t="0" r="17250" b="9139"/>
            <wp:docPr id="3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F07E5" w:rsidRDefault="007F07E5" w:rsidP="003B704F">
      <w:pPr>
        <w:autoSpaceDE w:val="0"/>
        <w:autoSpaceDN w:val="0"/>
        <w:adjustRightInd w:val="0"/>
        <w:jc w:val="both"/>
        <w:rPr>
          <w:lang w:eastAsia="hr-HR"/>
        </w:rPr>
      </w:pPr>
    </w:p>
    <w:p w:rsidR="008F7328" w:rsidRDefault="008F7328" w:rsidP="003B704F">
      <w:pPr>
        <w:autoSpaceDE w:val="0"/>
        <w:autoSpaceDN w:val="0"/>
        <w:adjustRightInd w:val="0"/>
        <w:jc w:val="both"/>
        <w:rPr>
          <w:lang w:eastAsia="hr-HR"/>
        </w:rPr>
      </w:pPr>
    </w:p>
    <w:p w:rsidR="008F7328" w:rsidRPr="008F7328" w:rsidRDefault="008F7328" w:rsidP="00FC305A">
      <w:pPr>
        <w:autoSpaceDE w:val="0"/>
        <w:autoSpaceDN w:val="0"/>
        <w:adjustRightInd w:val="0"/>
        <w:rPr>
          <w:b/>
          <w:lang w:eastAsia="hr-HR"/>
        </w:rPr>
      </w:pPr>
      <w:r w:rsidRPr="008F7328">
        <w:rPr>
          <w:b/>
          <w:lang w:eastAsia="hr-HR"/>
        </w:rPr>
        <w:lastRenderedPageBreak/>
        <w:t xml:space="preserve">KB </w:t>
      </w:r>
      <w:proofErr w:type="spellStart"/>
      <w:r w:rsidRPr="008F7328">
        <w:rPr>
          <w:b/>
          <w:lang w:eastAsia="hr-HR"/>
        </w:rPr>
        <w:t>Publikum</w:t>
      </w:r>
      <w:proofErr w:type="spellEnd"/>
      <w:r w:rsidRPr="008F7328">
        <w:rPr>
          <w:b/>
          <w:lang w:eastAsia="hr-HR"/>
        </w:rPr>
        <w:t xml:space="preserve"> - Balanced</w:t>
      </w:r>
    </w:p>
    <w:p w:rsidR="007F07E5" w:rsidRDefault="00E64C2B" w:rsidP="003B704F">
      <w:pPr>
        <w:autoSpaceDE w:val="0"/>
        <w:autoSpaceDN w:val="0"/>
        <w:adjustRightInd w:val="0"/>
        <w:jc w:val="both"/>
      </w:pPr>
      <w:r w:rsidRPr="00E64C2B">
        <w:rPr>
          <w:noProof/>
          <w:lang w:val="mk-MK" w:eastAsia="mk-MK"/>
        </w:rPr>
        <w:drawing>
          <wp:inline distT="0" distB="0" distL="0" distR="0">
            <wp:extent cx="1714500" cy="1724025"/>
            <wp:effectExtent l="19050" t="0" r="0" b="0"/>
            <wp:docPr id="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grayscl/>
                    </a:blip>
                    <a:srcRect/>
                    <a:stretch>
                      <a:fillRect/>
                    </a:stretch>
                  </pic:blipFill>
                  <pic:spPr bwMode="auto">
                    <a:xfrm>
                      <a:off x="0" y="0"/>
                      <a:ext cx="1714500" cy="1724025"/>
                    </a:xfrm>
                    <a:prstGeom prst="rect">
                      <a:avLst/>
                    </a:prstGeom>
                    <a:noFill/>
                    <a:ln w="9525">
                      <a:noFill/>
                      <a:miter lim="800000"/>
                      <a:headEnd/>
                      <a:tailEnd/>
                    </a:ln>
                  </pic:spPr>
                </pic:pic>
              </a:graphicData>
            </a:graphic>
          </wp:inline>
        </w:drawing>
      </w:r>
      <w:r w:rsidR="008F7328" w:rsidRPr="008F7328">
        <w:rPr>
          <w:noProof/>
          <w:lang w:val="mk-MK" w:eastAsia="mk-MK"/>
        </w:rPr>
        <w:drawing>
          <wp:inline distT="0" distB="0" distL="0" distR="0">
            <wp:extent cx="3888000" cy="1800225"/>
            <wp:effectExtent l="19050" t="0" r="17250" b="0"/>
            <wp:docPr id="4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C305A" w:rsidRDefault="00FC305A" w:rsidP="003B704F">
      <w:pPr>
        <w:autoSpaceDE w:val="0"/>
        <w:autoSpaceDN w:val="0"/>
        <w:adjustRightInd w:val="0"/>
        <w:jc w:val="both"/>
        <w:rPr>
          <w:b/>
        </w:rPr>
      </w:pPr>
    </w:p>
    <w:p w:rsidR="004C63C5" w:rsidRPr="00FC305A" w:rsidRDefault="00FC305A" w:rsidP="00FC305A">
      <w:pPr>
        <w:autoSpaceDE w:val="0"/>
        <w:autoSpaceDN w:val="0"/>
        <w:adjustRightInd w:val="0"/>
        <w:rPr>
          <w:b/>
        </w:rPr>
      </w:pPr>
      <w:r w:rsidRPr="00FC305A">
        <w:rPr>
          <w:b/>
        </w:rPr>
        <w:t xml:space="preserve">KB </w:t>
      </w:r>
      <w:proofErr w:type="spellStart"/>
      <w:r w:rsidRPr="00FC305A">
        <w:rPr>
          <w:b/>
        </w:rPr>
        <w:t>Publikum</w:t>
      </w:r>
      <w:proofErr w:type="spellEnd"/>
      <w:r w:rsidRPr="00FC305A">
        <w:rPr>
          <w:b/>
        </w:rPr>
        <w:t xml:space="preserve"> - Bonds</w:t>
      </w:r>
    </w:p>
    <w:p w:rsidR="008F7328" w:rsidRDefault="008F7328" w:rsidP="003B704F">
      <w:pPr>
        <w:autoSpaceDE w:val="0"/>
        <w:autoSpaceDN w:val="0"/>
        <w:adjustRightInd w:val="0"/>
        <w:jc w:val="both"/>
        <w:rPr>
          <w:noProof/>
          <w:lang w:eastAsia="mk-MK"/>
        </w:rPr>
      </w:pPr>
      <w:r w:rsidRPr="008F7328">
        <w:rPr>
          <w:noProof/>
          <w:lang w:val="mk-MK" w:eastAsia="mk-MK"/>
        </w:rPr>
        <w:drawing>
          <wp:inline distT="0" distB="0" distL="0" distR="0">
            <wp:extent cx="1714500" cy="1724025"/>
            <wp:effectExtent l="19050" t="0" r="0" b="0"/>
            <wp:docPr id="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grayscl/>
                    </a:blip>
                    <a:srcRect/>
                    <a:stretch>
                      <a:fillRect/>
                    </a:stretch>
                  </pic:blipFill>
                  <pic:spPr bwMode="auto">
                    <a:xfrm>
                      <a:off x="0" y="0"/>
                      <a:ext cx="1714500" cy="1724025"/>
                    </a:xfrm>
                    <a:prstGeom prst="rect">
                      <a:avLst/>
                    </a:prstGeom>
                    <a:noFill/>
                    <a:ln w="9525">
                      <a:noFill/>
                      <a:miter lim="800000"/>
                      <a:headEnd/>
                      <a:tailEnd/>
                    </a:ln>
                  </pic:spPr>
                </pic:pic>
              </a:graphicData>
            </a:graphic>
          </wp:inline>
        </w:drawing>
      </w:r>
      <w:r w:rsidRPr="008F7328">
        <w:rPr>
          <w:noProof/>
          <w:lang w:val="mk-MK" w:eastAsia="mk-MK"/>
        </w:rPr>
        <w:drawing>
          <wp:inline distT="0" distB="0" distL="0" distR="0">
            <wp:extent cx="3888000" cy="1800225"/>
            <wp:effectExtent l="19050" t="0" r="17250" b="0"/>
            <wp:docPr id="5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C305A" w:rsidRDefault="00FC305A" w:rsidP="003B704F">
      <w:pPr>
        <w:autoSpaceDE w:val="0"/>
        <w:autoSpaceDN w:val="0"/>
        <w:adjustRightInd w:val="0"/>
        <w:jc w:val="both"/>
        <w:rPr>
          <w:b/>
          <w:noProof/>
          <w:lang w:eastAsia="mk-MK"/>
        </w:rPr>
      </w:pPr>
    </w:p>
    <w:p w:rsidR="008F7328" w:rsidRPr="00FC305A" w:rsidRDefault="00FC305A" w:rsidP="003B704F">
      <w:pPr>
        <w:autoSpaceDE w:val="0"/>
        <w:autoSpaceDN w:val="0"/>
        <w:adjustRightInd w:val="0"/>
        <w:jc w:val="both"/>
        <w:rPr>
          <w:b/>
          <w:noProof/>
          <w:lang w:eastAsia="mk-MK"/>
        </w:rPr>
      </w:pPr>
      <w:r w:rsidRPr="00FC305A">
        <w:rPr>
          <w:b/>
          <w:noProof/>
          <w:lang w:eastAsia="mk-MK"/>
        </w:rPr>
        <w:t>KD BRIC</w:t>
      </w:r>
    </w:p>
    <w:p w:rsidR="008F7328" w:rsidRPr="008F7328" w:rsidRDefault="008F7328" w:rsidP="003B704F">
      <w:pPr>
        <w:autoSpaceDE w:val="0"/>
        <w:autoSpaceDN w:val="0"/>
        <w:adjustRightInd w:val="0"/>
        <w:jc w:val="both"/>
        <w:rPr>
          <w:noProof/>
          <w:lang w:eastAsia="mk-MK"/>
        </w:rPr>
      </w:pPr>
      <w:r w:rsidRPr="008F7328">
        <w:rPr>
          <w:noProof/>
          <w:lang w:val="mk-MK" w:eastAsia="mk-MK"/>
        </w:rPr>
        <w:drawing>
          <wp:inline distT="0" distB="0" distL="0" distR="0">
            <wp:extent cx="1714500" cy="1724025"/>
            <wp:effectExtent l="19050" t="0" r="0" b="0"/>
            <wp:docPr id="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grayscl/>
                    </a:blip>
                    <a:srcRect/>
                    <a:stretch>
                      <a:fillRect/>
                    </a:stretch>
                  </pic:blipFill>
                  <pic:spPr bwMode="auto">
                    <a:xfrm>
                      <a:off x="0" y="0"/>
                      <a:ext cx="1714500" cy="1724025"/>
                    </a:xfrm>
                    <a:prstGeom prst="rect">
                      <a:avLst/>
                    </a:prstGeom>
                    <a:noFill/>
                    <a:ln w="9525">
                      <a:noFill/>
                      <a:miter lim="800000"/>
                      <a:headEnd/>
                      <a:tailEnd/>
                    </a:ln>
                  </pic:spPr>
                </pic:pic>
              </a:graphicData>
            </a:graphic>
          </wp:inline>
        </w:drawing>
      </w:r>
      <w:r>
        <w:rPr>
          <w:noProof/>
          <w:lang w:eastAsia="mk-MK"/>
        </w:rPr>
        <w:t xml:space="preserve"> </w:t>
      </w:r>
      <w:r w:rsidRPr="008F7328">
        <w:rPr>
          <w:noProof/>
          <w:lang w:val="mk-MK" w:eastAsia="mk-MK"/>
        </w:rPr>
        <w:drawing>
          <wp:inline distT="0" distB="0" distL="0" distR="0">
            <wp:extent cx="3888000" cy="1800225"/>
            <wp:effectExtent l="19050" t="0" r="17250" b="0"/>
            <wp:docPr id="5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C63C5" w:rsidRPr="00FC305A" w:rsidRDefault="00FC305A" w:rsidP="003B704F">
      <w:pPr>
        <w:autoSpaceDE w:val="0"/>
        <w:autoSpaceDN w:val="0"/>
        <w:adjustRightInd w:val="0"/>
        <w:jc w:val="both"/>
        <w:rPr>
          <w:b/>
        </w:rPr>
      </w:pPr>
      <w:r w:rsidRPr="00FC305A">
        <w:rPr>
          <w:b/>
        </w:rPr>
        <w:t>KD South Balkan</w:t>
      </w:r>
    </w:p>
    <w:p w:rsidR="009B135D" w:rsidRDefault="008F7328" w:rsidP="003B704F">
      <w:pPr>
        <w:autoSpaceDE w:val="0"/>
        <w:autoSpaceDN w:val="0"/>
        <w:adjustRightInd w:val="0"/>
        <w:jc w:val="both"/>
        <w:rPr>
          <w:lang w:eastAsia="hr-HR"/>
        </w:rPr>
      </w:pPr>
      <w:r w:rsidRPr="008F7328">
        <w:rPr>
          <w:noProof/>
          <w:lang w:val="mk-MK" w:eastAsia="mk-MK"/>
        </w:rPr>
        <w:drawing>
          <wp:inline distT="0" distB="0" distL="0" distR="0">
            <wp:extent cx="1714500" cy="1724025"/>
            <wp:effectExtent l="19050" t="0" r="0" b="0"/>
            <wp:docPr id="5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cstate="print">
                      <a:grayscl/>
                    </a:blip>
                    <a:srcRect/>
                    <a:stretch>
                      <a:fillRect/>
                    </a:stretch>
                  </pic:blipFill>
                  <pic:spPr bwMode="auto">
                    <a:xfrm>
                      <a:off x="0" y="0"/>
                      <a:ext cx="1714500" cy="1724025"/>
                    </a:xfrm>
                    <a:prstGeom prst="rect">
                      <a:avLst/>
                    </a:prstGeom>
                    <a:noFill/>
                    <a:ln w="9525">
                      <a:noFill/>
                      <a:miter lim="800000"/>
                      <a:headEnd/>
                      <a:tailEnd/>
                    </a:ln>
                  </pic:spPr>
                </pic:pic>
              </a:graphicData>
            </a:graphic>
          </wp:inline>
        </w:drawing>
      </w:r>
      <w:r>
        <w:rPr>
          <w:lang w:eastAsia="hr-HR"/>
        </w:rPr>
        <w:t xml:space="preserve"> </w:t>
      </w:r>
      <w:r w:rsidRPr="008F7328">
        <w:rPr>
          <w:noProof/>
          <w:lang w:val="mk-MK" w:eastAsia="mk-MK"/>
        </w:rPr>
        <w:drawing>
          <wp:inline distT="0" distB="0" distL="0" distR="0">
            <wp:extent cx="3888000" cy="1800225"/>
            <wp:effectExtent l="19050" t="0" r="17250" b="0"/>
            <wp:docPr id="56"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F7328" w:rsidRPr="00FC305A" w:rsidRDefault="00FC305A" w:rsidP="00FC305A">
      <w:pPr>
        <w:autoSpaceDE w:val="0"/>
        <w:autoSpaceDN w:val="0"/>
        <w:adjustRightInd w:val="0"/>
        <w:rPr>
          <w:b/>
          <w:lang w:eastAsia="hr-HR"/>
        </w:rPr>
      </w:pPr>
      <w:r w:rsidRPr="00FC305A">
        <w:rPr>
          <w:b/>
          <w:lang w:eastAsia="hr-HR"/>
        </w:rPr>
        <w:t xml:space="preserve">NLB </w:t>
      </w:r>
      <w:proofErr w:type="spellStart"/>
      <w:r w:rsidRPr="00FC305A">
        <w:rPr>
          <w:b/>
          <w:lang w:eastAsia="hr-HR"/>
        </w:rPr>
        <w:t>Penzija</w:t>
      </w:r>
      <w:proofErr w:type="spellEnd"/>
      <w:r w:rsidRPr="00FC305A">
        <w:rPr>
          <w:b/>
          <w:lang w:eastAsia="hr-HR"/>
        </w:rPr>
        <w:t xml:space="preserve"> plus</w:t>
      </w:r>
    </w:p>
    <w:p w:rsidR="008F7328" w:rsidRDefault="008F7328" w:rsidP="003B704F">
      <w:pPr>
        <w:autoSpaceDE w:val="0"/>
        <w:autoSpaceDN w:val="0"/>
        <w:adjustRightInd w:val="0"/>
        <w:jc w:val="both"/>
        <w:rPr>
          <w:lang w:eastAsia="hr-HR"/>
        </w:rPr>
      </w:pPr>
      <w:r w:rsidRPr="008F7328">
        <w:rPr>
          <w:noProof/>
          <w:lang w:val="mk-MK" w:eastAsia="mk-MK"/>
        </w:rPr>
        <w:lastRenderedPageBreak/>
        <w:drawing>
          <wp:inline distT="0" distB="0" distL="0" distR="0">
            <wp:extent cx="1714500" cy="1724025"/>
            <wp:effectExtent l="19050" t="0" r="0" b="0"/>
            <wp:docPr id="5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grayscl/>
                    </a:blip>
                    <a:srcRect/>
                    <a:stretch>
                      <a:fillRect/>
                    </a:stretch>
                  </pic:blipFill>
                  <pic:spPr bwMode="auto">
                    <a:xfrm>
                      <a:off x="0" y="0"/>
                      <a:ext cx="1714500" cy="1724025"/>
                    </a:xfrm>
                    <a:prstGeom prst="rect">
                      <a:avLst/>
                    </a:prstGeom>
                    <a:noFill/>
                    <a:ln w="9525">
                      <a:noFill/>
                      <a:miter lim="800000"/>
                      <a:headEnd/>
                      <a:tailEnd/>
                    </a:ln>
                  </pic:spPr>
                </pic:pic>
              </a:graphicData>
            </a:graphic>
          </wp:inline>
        </w:drawing>
      </w:r>
      <w:r>
        <w:rPr>
          <w:lang w:eastAsia="hr-HR"/>
        </w:rPr>
        <w:t xml:space="preserve"> </w:t>
      </w:r>
      <w:r w:rsidRPr="008F7328">
        <w:rPr>
          <w:noProof/>
          <w:lang w:val="mk-MK" w:eastAsia="mk-MK"/>
        </w:rPr>
        <w:drawing>
          <wp:inline distT="0" distB="0" distL="0" distR="0">
            <wp:extent cx="3888000" cy="1800225"/>
            <wp:effectExtent l="19050" t="0" r="17250" b="0"/>
            <wp:docPr id="5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8F7328" w:rsidRDefault="008F7328" w:rsidP="003B704F">
      <w:pPr>
        <w:autoSpaceDE w:val="0"/>
        <w:autoSpaceDN w:val="0"/>
        <w:adjustRightInd w:val="0"/>
        <w:jc w:val="both"/>
        <w:rPr>
          <w:lang w:eastAsia="hr-HR"/>
        </w:rPr>
      </w:pPr>
    </w:p>
    <w:p w:rsidR="00FC305A" w:rsidRPr="00FC305A" w:rsidRDefault="00FC305A" w:rsidP="003B704F">
      <w:pPr>
        <w:autoSpaceDE w:val="0"/>
        <w:autoSpaceDN w:val="0"/>
        <w:adjustRightInd w:val="0"/>
        <w:jc w:val="both"/>
        <w:rPr>
          <w:b/>
          <w:lang w:eastAsia="hr-HR"/>
        </w:rPr>
      </w:pPr>
      <w:r w:rsidRPr="00FC305A">
        <w:rPr>
          <w:b/>
          <w:lang w:eastAsia="hr-HR"/>
        </w:rPr>
        <w:t xml:space="preserve">NLB Nov </w:t>
      </w:r>
      <w:proofErr w:type="spellStart"/>
      <w:r w:rsidRPr="00FC305A">
        <w:rPr>
          <w:b/>
          <w:lang w:eastAsia="hr-HR"/>
        </w:rPr>
        <w:t>Penziski</w:t>
      </w:r>
      <w:proofErr w:type="spellEnd"/>
      <w:r w:rsidRPr="00FC305A">
        <w:rPr>
          <w:b/>
          <w:lang w:eastAsia="hr-HR"/>
        </w:rPr>
        <w:t xml:space="preserve"> Fond</w:t>
      </w:r>
    </w:p>
    <w:p w:rsidR="009B135D" w:rsidRPr="0067112E" w:rsidRDefault="008F7328" w:rsidP="003B704F">
      <w:pPr>
        <w:autoSpaceDE w:val="0"/>
        <w:autoSpaceDN w:val="0"/>
        <w:adjustRightInd w:val="0"/>
        <w:jc w:val="both"/>
        <w:rPr>
          <w:lang w:eastAsia="hr-HR"/>
        </w:rPr>
      </w:pPr>
      <w:r w:rsidRPr="008F7328">
        <w:rPr>
          <w:noProof/>
          <w:lang w:val="mk-MK" w:eastAsia="mk-MK"/>
        </w:rPr>
        <w:drawing>
          <wp:inline distT="0" distB="0" distL="0" distR="0">
            <wp:extent cx="1714500" cy="1724025"/>
            <wp:effectExtent l="19050" t="0" r="0" b="0"/>
            <wp:docPr id="5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grayscl/>
                    </a:blip>
                    <a:srcRect/>
                    <a:stretch>
                      <a:fillRect/>
                    </a:stretch>
                  </pic:blipFill>
                  <pic:spPr bwMode="auto">
                    <a:xfrm>
                      <a:off x="0" y="0"/>
                      <a:ext cx="1714500" cy="1724025"/>
                    </a:xfrm>
                    <a:prstGeom prst="rect">
                      <a:avLst/>
                    </a:prstGeom>
                    <a:noFill/>
                    <a:ln w="9525">
                      <a:noFill/>
                      <a:miter lim="800000"/>
                      <a:headEnd/>
                      <a:tailEnd/>
                    </a:ln>
                  </pic:spPr>
                </pic:pic>
              </a:graphicData>
            </a:graphic>
          </wp:inline>
        </w:drawing>
      </w:r>
      <w:r>
        <w:rPr>
          <w:lang w:eastAsia="hr-HR"/>
        </w:rPr>
        <w:t xml:space="preserve"> </w:t>
      </w:r>
      <w:r w:rsidRPr="008F7328">
        <w:rPr>
          <w:noProof/>
          <w:lang w:val="mk-MK" w:eastAsia="mk-MK"/>
        </w:rPr>
        <w:drawing>
          <wp:inline distT="0" distB="0" distL="0" distR="0">
            <wp:extent cx="3888000" cy="1800225"/>
            <wp:effectExtent l="19050" t="0" r="17250" b="0"/>
            <wp:docPr id="60"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522AC1" w:rsidRPr="00AC3716" w:rsidRDefault="00522AC1" w:rsidP="00AC3716">
      <w:pPr>
        <w:pStyle w:val="BodyText"/>
        <w:spacing w:before="120"/>
        <w:ind w:left="1080" w:hanging="1080"/>
        <w:jc w:val="left"/>
        <w:rPr>
          <w:lang w:val="mk-MK" w:eastAsia="hr-HR"/>
        </w:rPr>
      </w:pPr>
      <w:r w:rsidRPr="00AA113E">
        <w:rPr>
          <w:b w:val="0"/>
          <w:sz w:val="22"/>
          <w:szCs w:val="22"/>
        </w:rPr>
        <w:t xml:space="preserve">Figure </w:t>
      </w:r>
      <w:r>
        <w:rPr>
          <w:b w:val="0"/>
          <w:sz w:val="22"/>
          <w:szCs w:val="22"/>
          <w:lang w:val="mk-MK"/>
        </w:rPr>
        <w:t>12-23</w:t>
      </w:r>
      <w:r w:rsidRPr="00AA113E">
        <w:rPr>
          <w:b w:val="0"/>
          <w:sz w:val="22"/>
          <w:szCs w:val="22"/>
          <w:lang w:val="hr-HR"/>
        </w:rPr>
        <w:t xml:space="preserve">: </w:t>
      </w:r>
      <w:r w:rsidR="0085032F">
        <w:rPr>
          <w:b w:val="0"/>
          <w:sz w:val="22"/>
          <w:szCs w:val="22"/>
        </w:rPr>
        <w:t xml:space="preserve">Calmar and Sterling Ratios </w:t>
      </w:r>
      <w:r w:rsidR="0085032F" w:rsidRPr="00B017B6">
        <w:rPr>
          <w:b w:val="0"/>
          <w:sz w:val="22"/>
          <w:szCs w:val="22"/>
        </w:rPr>
        <w:t>of investment and pension funds</w:t>
      </w:r>
      <w:r w:rsidR="0085032F">
        <w:rPr>
          <w:b w:val="0"/>
          <w:sz w:val="22"/>
          <w:szCs w:val="22"/>
        </w:rPr>
        <w:t xml:space="preserve"> from R. Macedonia</w:t>
      </w:r>
      <w:bookmarkStart w:id="4" w:name="_GoBack"/>
      <w:bookmarkEnd w:id="4"/>
    </w:p>
    <w:p w:rsidR="00522AC1" w:rsidRDefault="00522AC1" w:rsidP="003B704F">
      <w:pPr>
        <w:autoSpaceDE w:val="0"/>
        <w:autoSpaceDN w:val="0"/>
        <w:adjustRightInd w:val="0"/>
        <w:jc w:val="both"/>
        <w:rPr>
          <w:lang w:val="mk-MK" w:eastAsia="hr-HR"/>
        </w:rPr>
      </w:pPr>
    </w:p>
    <w:p w:rsidR="00BC44D5" w:rsidRPr="0033581F" w:rsidRDefault="0033581F" w:rsidP="0033581F">
      <w:pPr>
        <w:jc w:val="both"/>
        <w:rPr>
          <w:b/>
          <w:sz w:val="28"/>
        </w:rPr>
      </w:pPr>
      <w:r>
        <w:rPr>
          <w:rStyle w:val="Emphasis"/>
          <w:b/>
          <w:i w:val="0"/>
          <w:color w:val="111111"/>
          <w:sz w:val="28"/>
        </w:rPr>
        <w:t xml:space="preserve">3. </w:t>
      </w:r>
      <w:r w:rsidRPr="0033581F">
        <w:rPr>
          <w:rStyle w:val="Emphasis"/>
          <w:b/>
          <w:i w:val="0"/>
          <w:color w:val="111111"/>
          <w:sz w:val="28"/>
        </w:rPr>
        <w:t>Conclusion</w:t>
      </w:r>
    </w:p>
    <w:p w:rsidR="00BC44D5" w:rsidRDefault="00BC44D5" w:rsidP="00BC44D5">
      <w:pPr>
        <w:jc w:val="both"/>
      </w:pPr>
    </w:p>
    <w:p w:rsidR="003071D6" w:rsidRDefault="003071D6" w:rsidP="00BC44D5">
      <w:pPr>
        <w:jc w:val="both"/>
      </w:pPr>
      <w:r>
        <w:t xml:space="preserve">Through </w:t>
      </w:r>
      <w:r w:rsidRPr="00126540">
        <w:t xml:space="preserve">statistical analysis of data from a three-year series of monthly returns of the accounting unit from </w:t>
      </w:r>
      <w:r>
        <w:t xml:space="preserve">the Macedonian </w:t>
      </w:r>
      <w:r w:rsidRPr="00126540">
        <w:t xml:space="preserve">investment and pension funds, there were 45,96% negative returns (with an average of -1.79%), and 54,04% positive monthly returns (with an average of 1.53%). </w:t>
      </w:r>
    </w:p>
    <w:p w:rsidR="003071D6" w:rsidRDefault="003071D6" w:rsidP="00BC44D5">
      <w:pPr>
        <w:jc w:val="both"/>
      </w:pPr>
      <w:r w:rsidRPr="00126540">
        <w:t xml:space="preserve">Statistical analysis from Sharpe and </w:t>
      </w:r>
      <w:proofErr w:type="spellStart"/>
      <w:r w:rsidRPr="00126540">
        <w:t>Sortino</w:t>
      </w:r>
      <w:proofErr w:type="spellEnd"/>
      <w:r w:rsidRPr="00126540">
        <w:t xml:space="preserve"> r</w:t>
      </w:r>
      <w:r>
        <w:t>atios shows that pension funds’ returns are</w:t>
      </w:r>
      <w:r w:rsidRPr="00126540">
        <w:t xml:space="preserve"> more risk-adjusted than investment funds in th</w:t>
      </w:r>
      <w:r>
        <w:t>e</w:t>
      </w:r>
      <w:r w:rsidRPr="00126540">
        <w:t xml:space="preserve"> analyzed period. </w:t>
      </w:r>
    </w:p>
    <w:p w:rsidR="003071D6" w:rsidRDefault="003071D6" w:rsidP="00BC44D5">
      <w:pPr>
        <w:tabs>
          <w:tab w:val="left" w:pos="3330"/>
        </w:tabs>
        <w:jc w:val="both"/>
      </w:pPr>
      <w:r>
        <w:t>As for the asymmetry of the returns of accounting units of funds, it can be observed that almost all are negative asymmetrical, which means that they have “fat” tales towards extremely positive and negative values of the distributional curve. In terms of kurtosis they are likewise leptokurtic, which would mean that there is a risk of erroneous estimation of the expected future returns.</w:t>
      </w:r>
    </w:p>
    <w:p w:rsidR="003071D6" w:rsidRDefault="003071D6" w:rsidP="00BC44D5">
      <w:pPr>
        <w:tabs>
          <w:tab w:val="left" w:pos="3330"/>
        </w:tabs>
        <w:jc w:val="both"/>
      </w:pPr>
      <w:r>
        <w:t xml:space="preserve">The Omega </w:t>
      </w:r>
      <w:proofErr w:type="gramStart"/>
      <w:r>
        <w:t>ratios confirms</w:t>
      </w:r>
      <w:proofErr w:type="gramEnd"/>
      <w:r>
        <w:t xml:space="preserve"> previous indices and presents positive values only in pension funds in terms of the likeness to get the expected returns.</w:t>
      </w:r>
    </w:p>
    <w:p w:rsidR="003071D6" w:rsidRDefault="003071D6" w:rsidP="00BC44D5">
      <w:pPr>
        <w:tabs>
          <w:tab w:val="left" w:pos="3330"/>
        </w:tabs>
        <w:jc w:val="both"/>
      </w:pPr>
      <w:r>
        <w:t>The Kalmar ratios based on</w:t>
      </w:r>
      <w:r w:rsidRPr="00126540">
        <w:t xml:space="preserve"> data from a three-year series of monthly returns of the accounting unit from investment and pension funds </w:t>
      </w:r>
      <w:r>
        <w:t xml:space="preserve">is a good indicator for future downhill events. </w:t>
      </w:r>
      <w:proofErr w:type="gramStart"/>
      <w:r>
        <w:t>The bigger the coefficient, the lesser the possibility for the accounting unit to have downward slope.</w:t>
      </w:r>
      <w:proofErr w:type="gramEnd"/>
      <w:r w:rsidRPr="00126540">
        <w:t xml:space="preserve"> KB Mandatory Pension Fund </w:t>
      </w:r>
      <w:r>
        <w:t xml:space="preserve">has </w:t>
      </w:r>
      <w:proofErr w:type="gramStart"/>
      <w:r>
        <w:t>good</w:t>
      </w:r>
      <w:proofErr w:type="gramEnd"/>
      <w:r>
        <w:t>,</w:t>
      </w:r>
      <w:r w:rsidRPr="00126540">
        <w:t xml:space="preserve"> NLB </w:t>
      </w:r>
      <w:proofErr w:type="spellStart"/>
      <w:r w:rsidRPr="00126540">
        <w:t>Penzija</w:t>
      </w:r>
      <w:proofErr w:type="spellEnd"/>
      <w:r w:rsidRPr="00126540">
        <w:t xml:space="preserve"> plus </w:t>
      </w:r>
      <w:r>
        <w:t>and</w:t>
      </w:r>
      <w:r w:rsidRPr="00126540">
        <w:t xml:space="preserve"> NLB Nov </w:t>
      </w:r>
      <w:proofErr w:type="spellStart"/>
      <w:r w:rsidRPr="00126540">
        <w:t>Penziski</w:t>
      </w:r>
      <w:proofErr w:type="spellEnd"/>
      <w:r w:rsidRPr="00126540">
        <w:t xml:space="preserve"> Fond </w:t>
      </w:r>
      <w:r>
        <w:t>have solid</w:t>
      </w:r>
      <w:r w:rsidRPr="00126540">
        <w:t xml:space="preserve">, KB </w:t>
      </w:r>
      <w:proofErr w:type="spellStart"/>
      <w:r w:rsidRPr="00126540">
        <w:t>Publikum</w:t>
      </w:r>
      <w:proofErr w:type="spellEnd"/>
      <w:r w:rsidRPr="00126540">
        <w:t xml:space="preserve"> – Bonds </w:t>
      </w:r>
      <w:r>
        <w:t>has very good</w:t>
      </w:r>
      <w:r w:rsidRPr="00126540">
        <w:t>,</w:t>
      </w:r>
      <w:r>
        <w:t xml:space="preserve"> while</w:t>
      </w:r>
      <w:r w:rsidRPr="00126540">
        <w:t xml:space="preserve"> KB Voluntary Pension Fund </w:t>
      </w:r>
      <w:r>
        <w:t>has excellent performance of this indicator.</w:t>
      </w:r>
    </w:p>
    <w:p w:rsidR="00EE730E" w:rsidRPr="00EE730E" w:rsidRDefault="003071D6" w:rsidP="0067112E">
      <w:pPr>
        <w:jc w:val="both"/>
      </w:pPr>
      <w:r>
        <w:t>The indices of traditional portfolio theories are already exhausted when it comes to the latest needs of statistical analyses. The post-modern portfolio theory offers new indices which complete their predecessors so as to attain quality data in the investment decision-making process.</w:t>
      </w:r>
    </w:p>
    <w:p w:rsidR="00522AC1" w:rsidRPr="00522AC1" w:rsidRDefault="00522AC1" w:rsidP="003B704F">
      <w:pPr>
        <w:autoSpaceDE w:val="0"/>
        <w:autoSpaceDN w:val="0"/>
        <w:adjustRightInd w:val="0"/>
        <w:jc w:val="both"/>
        <w:rPr>
          <w:lang w:val="mk-MK" w:eastAsia="hr-HR"/>
        </w:rPr>
      </w:pPr>
    </w:p>
    <w:p w:rsidR="009B135D" w:rsidRPr="001C29F5" w:rsidRDefault="009B135D" w:rsidP="009B135D">
      <w:pPr>
        <w:autoSpaceDE w:val="0"/>
        <w:autoSpaceDN w:val="0"/>
        <w:adjustRightInd w:val="0"/>
        <w:rPr>
          <w:b/>
          <w:sz w:val="28"/>
          <w:szCs w:val="28"/>
          <w:lang w:val="hr-HR" w:eastAsia="hr-HR"/>
        </w:rPr>
      </w:pPr>
      <w:r w:rsidRPr="001C29F5">
        <w:rPr>
          <w:b/>
          <w:sz w:val="28"/>
          <w:szCs w:val="28"/>
          <w:lang w:val="hr-HR" w:eastAsia="hr-HR"/>
        </w:rPr>
        <w:t>References</w:t>
      </w:r>
    </w:p>
    <w:p w:rsidR="007F07E5" w:rsidRDefault="007F07E5" w:rsidP="003B704F">
      <w:pPr>
        <w:autoSpaceDE w:val="0"/>
        <w:autoSpaceDN w:val="0"/>
        <w:adjustRightInd w:val="0"/>
        <w:jc w:val="both"/>
        <w:rPr>
          <w:lang w:eastAsia="hr-HR"/>
        </w:rPr>
      </w:pPr>
    </w:p>
    <w:p w:rsidR="007F07E5" w:rsidRDefault="007F07E5" w:rsidP="003B704F">
      <w:pPr>
        <w:autoSpaceDE w:val="0"/>
        <w:autoSpaceDN w:val="0"/>
        <w:adjustRightInd w:val="0"/>
        <w:jc w:val="both"/>
        <w:rPr>
          <w:lang w:eastAsia="hr-HR"/>
        </w:rPr>
      </w:pPr>
    </w:p>
    <w:p w:rsidR="00E072F0" w:rsidRDefault="00E072F0" w:rsidP="00E072F0">
      <w:pPr>
        <w:pStyle w:val="ListParagraph"/>
        <w:numPr>
          <w:ilvl w:val="0"/>
          <w:numId w:val="26"/>
        </w:numPr>
      </w:pPr>
      <w:proofErr w:type="spellStart"/>
      <w:r>
        <w:t>Ammann</w:t>
      </w:r>
      <w:proofErr w:type="spellEnd"/>
      <w:r>
        <w:t xml:space="preserve">, M., &amp; </w:t>
      </w:r>
      <w:proofErr w:type="spellStart"/>
      <w:r>
        <w:t>Moerth</w:t>
      </w:r>
      <w:proofErr w:type="spellEnd"/>
      <w:r>
        <w:t xml:space="preserve">, P. (2008). Performance of funds of hedge funds. </w:t>
      </w:r>
      <w:r w:rsidRPr="00E072F0">
        <w:rPr>
          <w:i/>
          <w:iCs/>
        </w:rPr>
        <w:t>The Journal of Wealth Management</w:t>
      </w:r>
      <w:r>
        <w:t xml:space="preserve">, </w:t>
      </w:r>
      <w:r w:rsidRPr="00E072F0">
        <w:rPr>
          <w:i/>
          <w:iCs/>
        </w:rPr>
        <w:t>11</w:t>
      </w:r>
      <w:r>
        <w:t>(1), 46-63.</w:t>
      </w:r>
    </w:p>
    <w:p w:rsidR="00E072F0" w:rsidRDefault="00E072F0" w:rsidP="00E072F0">
      <w:pPr>
        <w:pStyle w:val="ListParagraph"/>
        <w:numPr>
          <w:ilvl w:val="0"/>
          <w:numId w:val="26"/>
        </w:numPr>
      </w:pPr>
      <w:r>
        <w:t xml:space="preserve">Bacon, C. (2000). How sharp is the Sharpe-ratio?-Risk-adjusted Performance Measures. </w:t>
      </w:r>
      <w:proofErr w:type="spellStart"/>
      <w:r w:rsidRPr="00E072F0">
        <w:rPr>
          <w:i/>
          <w:iCs/>
        </w:rPr>
        <w:t>Statpro</w:t>
      </w:r>
      <w:proofErr w:type="spellEnd"/>
      <w:r w:rsidRPr="00E072F0">
        <w:rPr>
          <w:i/>
          <w:iCs/>
        </w:rPr>
        <w:t xml:space="preserve"> White Paper</w:t>
      </w:r>
      <w:r>
        <w:t>.</w:t>
      </w:r>
    </w:p>
    <w:p w:rsidR="007A375B" w:rsidRPr="00E51296" w:rsidRDefault="007A375B" w:rsidP="007A375B">
      <w:pPr>
        <w:pStyle w:val="ListParagraph"/>
        <w:numPr>
          <w:ilvl w:val="0"/>
          <w:numId w:val="26"/>
        </w:numPr>
        <w:contextualSpacing/>
      </w:pPr>
      <w:r>
        <w:t xml:space="preserve">Bogdanovski V, </w:t>
      </w:r>
      <w:proofErr w:type="spellStart"/>
      <w:r>
        <w:t>Percinkova</w:t>
      </w:r>
      <w:proofErr w:type="spellEnd"/>
      <w:r>
        <w:t xml:space="preserve"> B. (2012). Optimal portfolio of securities listed on the </w:t>
      </w:r>
      <w:proofErr w:type="spellStart"/>
      <w:proofErr w:type="gramStart"/>
      <w:r>
        <w:t>macedonian</w:t>
      </w:r>
      <w:proofErr w:type="spellEnd"/>
      <w:proofErr w:type="gramEnd"/>
      <w:r>
        <w:t xml:space="preserve"> stock exchange</w:t>
      </w:r>
      <w:r w:rsidR="008E3171">
        <w:t xml:space="preserve">. Faces of the crisis, EURM. </w:t>
      </w:r>
      <w:r w:rsidR="008205D9">
        <w:t>702-711.</w:t>
      </w:r>
    </w:p>
    <w:p w:rsidR="00E072F0" w:rsidRDefault="00E072F0" w:rsidP="00E072F0">
      <w:pPr>
        <w:pStyle w:val="ListParagraph"/>
        <w:numPr>
          <w:ilvl w:val="0"/>
          <w:numId w:val="26"/>
        </w:numPr>
      </w:pPr>
      <w:r>
        <w:t>Costa, J., Gaspar, R. M. Portfolio insurance–a comparison of naive versus popular strategies.</w:t>
      </w:r>
    </w:p>
    <w:p w:rsidR="009B135D" w:rsidRPr="00E51296" w:rsidRDefault="009B135D" w:rsidP="009B135D">
      <w:pPr>
        <w:pStyle w:val="ListParagraph"/>
        <w:numPr>
          <w:ilvl w:val="0"/>
          <w:numId w:val="26"/>
        </w:numPr>
        <w:contextualSpacing/>
      </w:pPr>
      <w:r w:rsidRPr="00E51296">
        <w:t xml:space="preserve">De Wet R, </w:t>
      </w:r>
      <w:proofErr w:type="spellStart"/>
      <w:r w:rsidRPr="00E51296">
        <w:t>Krige</w:t>
      </w:r>
      <w:proofErr w:type="spellEnd"/>
      <w:r w:rsidRPr="00E51296">
        <w:t xml:space="preserve"> N, </w:t>
      </w:r>
      <w:proofErr w:type="spellStart"/>
      <w:r w:rsidRPr="00E51296">
        <w:t>Smit</w:t>
      </w:r>
      <w:proofErr w:type="spellEnd"/>
      <w:r w:rsidRPr="00E51296">
        <w:t xml:space="preserve"> E. </w:t>
      </w:r>
      <w:r>
        <w:t>(</w:t>
      </w:r>
      <w:r w:rsidRPr="00E51296">
        <w:t>2009</w:t>
      </w:r>
      <w:r>
        <w:t xml:space="preserve">). </w:t>
      </w:r>
      <w:r w:rsidRPr="00E51296">
        <w:t>Omega sharpens p</w:t>
      </w:r>
      <w:r w:rsidR="00F54FD2">
        <w:t>ortfolio performance evaluation</w:t>
      </w:r>
      <w:r w:rsidRPr="00E51296">
        <w:t xml:space="preserve">. USB Leaders Lab; </w:t>
      </w:r>
      <w:proofErr w:type="spellStart"/>
      <w:r w:rsidRPr="00E51296">
        <w:t>Vol</w:t>
      </w:r>
      <w:proofErr w:type="spellEnd"/>
      <w:r w:rsidRPr="00E51296">
        <w:t xml:space="preserve"> 3 No 2</w:t>
      </w:r>
    </w:p>
    <w:p w:rsidR="009B135D" w:rsidRPr="00E51296" w:rsidRDefault="00BF2D4E" w:rsidP="00BF2D4E">
      <w:pPr>
        <w:pStyle w:val="ListParagraph"/>
        <w:numPr>
          <w:ilvl w:val="0"/>
          <w:numId w:val="26"/>
        </w:numPr>
      </w:pPr>
      <w:r>
        <w:t xml:space="preserve">El </w:t>
      </w:r>
      <w:proofErr w:type="spellStart"/>
      <w:r>
        <w:t>Khamlichi</w:t>
      </w:r>
      <w:proofErr w:type="spellEnd"/>
      <w:r>
        <w:t xml:space="preserve">, A., </w:t>
      </w:r>
      <w:proofErr w:type="spellStart"/>
      <w:r>
        <w:t>Laaradh</w:t>
      </w:r>
      <w:proofErr w:type="spellEnd"/>
      <w:r>
        <w:t xml:space="preserve">, K., </w:t>
      </w:r>
      <w:proofErr w:type="spellStart"/>
      <w:r>
        <w:t>Arouri</w:t>
      </w:r>
      <w:proofErr w:type="spellEnd"/>
      <w:r>
        <w:t xml:space="preserve">, M., &amp; </w:t>
      </w:r>
      <w:proofErr w:type="spellStart"/>
      <w:r>
        <w:t>Teulon</w:t>
      </w:r>
      <w:proofErr w:type="spellEnd"/>
      <w:r>
        <w:t xml:space="preserve">, F. (2014). </w:t>
      </w:r>
      <w:r w:rsidRPr="00BF2D4E">
        <w:rPr>
          <w:i/>
          <w:iCs/>
        </w:rPr>
        <w:t>Performance Persistence of Islamic Equity Mutual Funds</w:t>
      </w:r>
      <w:r>
        <w:t xml:space="preserve"> (No. 2014-115).</w:t>
      </w:r>
    </w:p>
    <w:p w:rsidR="00BF2D4E" w:rsidRDefault="00BF2D4E" w:rsidP="009B135D">
      <w:pPr>
        <w:pStyle w:val="ListParagraph"/>
        <w:numPr>
          <w:ilvl w:val="0"/>
          <w:numId w:val="26"/>
        </w:numPr>
        <w:contextualSpacing/>
      </w:pPr>
      <w:r w:rsidRPr="00BF2D4E">
        <w:t xml:space="preserve">Johnson, K., &amp; Krueger, T. (2004). Market timing versus dollar-cost averaging: evidence based on two decades of Standard &amp; Poor’s 500 index values. Submitted for publication in the journal of academy of finance. </w:t>
      </w:r>
    </w:p>
    <w:p w:rsidR="00BF2D4E" w:rsidRDefault="00BF2D4E" w:rsidP="009B135D">
      <w:pPr>
        <w:pStyle w:val="ListParagraph"/>
        <w:numPr>
          <w:ilvl w:val="0"/>
          <w:numId w:val="26"/>
        </w:numPr>
        <w:contextualSpacing/>
      </w:pPr>
      <w:r w:rsidRPr="00BF2D4E">
        <w:t xml:space="preserve">Le </w:t>
      </w:r>
      <w:proofErr w:type="spellStart"/>
      <w:r w:rsidRPr="00BF2D4E">
        <w:t>Sourd</w:t>
      </w:r>
      <w:proofErr w:type="spellEnd"/>
      <w:r w:rsidRPr="00BF2D4E">
        <w:t xml:space="preserve">, V. (2007). Performance measurement for traditional investment. EDHEC publication, Nice. </w:t>
      </w:r>
    </w:p>
    <w:p w:rsidR="00BF2D4E" w:rsidRDefault="00BF2D4E" w:rsidP="00BF2D4E">
      <w:pPr>
        <w:pStyle w:val="ListParagraph"/>
        <w:numPr>
          <w:ilvl w:val="0"/>
          <w:numId w:val="26"/>
        </w:numPr>
      </w:pPr>
      <w:proofErr w:type="spellStart"/>
      <w:r>
        <w:t>Eling</w:t>
      </w:r>
      <w:proofErr w:type="spellEnd"/>
      <w:r>
        <w:t xml:space="preserve">, M. (2008). Performance Measurement in the Investment Industry: Does the Measure Matter. </w:t>
      </w:r>
      <w:r w:rsidRPr="00BF2D4E">
        <w:rPr>
          <w:i/>
          <w:iCs/>
        </w:rPr>
        <w:t>Working Papers on Risk Management</w:t>
      </w:r>
      <w:r>
        <w:t>, (49).</w:t>
      </w:r>
    </w:p>
    <w:p w:rsidR="00BF2D4E" w:rsidRDefault="00BF2D4E" w:rsidP="009B135D">
      <w:pPr>
        <w:pStyle w:val="ListParagraph"/>
        <w:numPr>
          <w:ilvl w:val="0"/>
          <w:numId w:val="26"/>
        </w:numPr>
        <w:contextualSpacing/>
      </w:pPr>
      <w:proofErr w:type="spellStart"/>
      <w:r w:rsidRPr="00BF2D4E">
        <w:t>Plantinga</w:t>
      </w:r>
      <w:proofErr w:type="spellEnd"/>
      <w:r w:rsidRPr="00BF2D4E">
        <w:t xml:space="preserve">, A., van </w:t>
      </w:r>
      <w:proofErr w:type="spellStart"/>
      <w:r w:rsidRPr="00BF2D4E">
        <w:t>der</w:t>
      </w:r>
      <w:proofErr w:type="spellEnd"/>
      <w:r w:rsidRPr="00BF2D4E">
        <w:t xml:space="preserve"> Meer, R., &amp; </w:t>
      </w:r>
      <w:proofErr w:type="spellStart"/>
      <w:r w:rsidRPr="00BF2D4E">
        <w:t>Sortino</w:t>
      </w:r>
      <w:proofErr w:type="spellEnd"/>
      <w:r w:rsidRPr="00BF2D4E">
        <w:t xml:space="preserve">, F. (2001). The impact of downside risk on risk-adjusted performance of mutual funds in the </w:t>
      </w:r>
      <w:proofErr w:type="spellStart"/>
      <w:r w:rsidRPr="00BF2D4E">
        <w:t>Euronext</w:t>
      </w:r>
      <w:proofErr w:type="spellEnd"/>
      <w:r w:rsidRPr="00BF2D4E">
        <w:t xml:space="preserve"> markets. Geneva Papers on Risk and Insurance, 1-14. </w:t>
      </w:r>
    </w:p>
    <w:p w:rsidR="00BF2D4E" w:rsidRDefault="00BF2D4E" w:rsidP="009B135D">
      <w:pPr>
        <w:pStyle w:val="ListParagraph"/>
        <w:numPr>
          <w:ilvl w:val="0"/>
          <w:numId w:val="26"/>
        </w:numPr>
        <w:contextualSpacing/>
      </w:pPr>
      <w:proofErr w:type="spellStart"/>
      <w:r w:rsidRPr="00BF2D4E">
        <w:t>Pourfatolah</w:t>
      </w:r>
      <w:proofErr w:type="spellEnd"/>
      <w:r w:rsidRPr="00BF2D4E">
        <w:t xml:space="preserve">, H., </w:t>
      </w:r>
      <w:proofErr w:type="spellStart"/>
      <w:r w:rsidRPr="00BF2D4E">
        <w:t>Soleimani</w:t>
      </w:r>
      <w:proofErr w:type="spellEnd"/>
      <w:r w:rsidRPr="00BF2D4E">
        <w:t xml:space="preserve">, A., &amp; </w:t>
      </w:r>
      <w:proofErr w:type="spellStart"/>
      <w:r w:rsidRPr="00BF2D4E">
        <w:t>Lashgari</w:t>
      </w:r>
      <w:proofErr w:type="spellEnd"/>
      <w:r w:rsidRPr="00BF2D4E">
        <w:t>, Z. Portfolio analysis using upside-potential ratio and applying portfolio assessment criteria.</w:t>
      </w:r>
    </w:p>
    <w:p w:rsidR="00BF2D4E" w:rsidRDefault="00BF2D4E" w:rsidP="009B135D">
      <w:pPr>
        <w:pStyle w:val="ListParagraph"/>
        <w:numPr>
          <w:ilvl w:val="0"/>
          <w:numId w:val="26"/>
        </w:numPr>
        <w:contextualSpacing/>
      </w:pPr>
      <w:proofErr w:type="spellStart"/>
      <w:r w:rsidRPr="00BF2D4E">
        <w:t>Schuhmacher</w:t>
      </w:r>
      <w:proofErr w:type="spellEnd"/>
      <w:r w:rsidRPr="00BF2D4E">
        <w:t xml:space="preserve">, F., &amp; </w:t>
      </w:r>
      <w:proofErr w:type="spellStart"/>
      <w:r w:rsidRPr="00BF2D4E">
        <w:t>Eling</w:t>
      </w:r>
      <w:proofErr w:type="spellEnd"/>
      <w:r w:rsidRPr="00BF2D4E">
        <w:t xml:space="preserve">, M. (2011). Sufficient conditions for expected utility to imply drawdown-based performance rankings. Journal of Banking &amp; Finance, 35(9), 2311-2318. </w:t>
      </w:r>
    </w:p>
    <w:p w:rsidR="00BF2D4E" w:rsidRDefault="00BF2D4E" w:rsidP="009B135D">
      <w:pPr>
        <w:pStyle w:val="ListParagraph"/>
        <w:numPr>
          <w:ilvl w:val="0"/>
          <w:numId w:val="26"/>
        </w:numPr>
        <w:contextualSpacing/>
      </w:pPr>
      <w:proofErr w:type="spellStart"/>
      <w:r w:rsidRPr="00BF2D4E">
        <w:t>Sortino</w:t>
      </w:r>
      <w:proofErr w:type="spellEnd"/>
      <w:r w:rsidRPr="00BF2D4E">
        <w:t xml:space="preserve">, F. A., Van de Meer, R., </w:t>
      </w:r>
      <w:proofErr w:type="spellStart"/>
      <w:r w:rsidRPr="00BF2D4E">
        <w:t>Plantinga</w:t>
      </w:r>
      <w:proofErr w:type="spellEnd"/>
      <w:r w:rsidRPr="00BF2D4E">
        <w:t xml:space="preserve">, A., &amp; </w:t>
      </w:r>
      <w:proofErr w:type="spellStart"/>
      <w:r w:rsidRPr="00BF2D4E">
        <w:t>Forsey</w:t>
      </w:r>
      <w:proofErr w:type="spellEnd"/>
      <w:r w:rsidRPr="00BF2D4E">
        <w:t xml:space="preserve">, H. (2003). The Upside Potential Ratio: What </w:t>
      </w:r>
      <w:proofErr w:type="gramStart"/>
      <w:r w:rsidRPr="00BF2D4E">
        <w:t>are</w:t>
      </w:r>
      <w:proofErr w:type="gramEnd"/>
      <w:r w:rsidRPr="00BF2D4E">
        <w:t xml:space="preserve"> We Trying to Measure. Senior Consultant, 6(11).</w:t>
      </w:r>
    </w:p>
    <w:p w:rsidR="00BF2D4E" w:rsidRDefault="00BF2D4E" w:rsidP="009B135D">
      <w:pPr>
        <w:pStyle w:val="ListParagraph"/>
        <w:numPr>
          <w:ilvl w:val="0"/>
          <w:numId w:val="26"/>
        </w:numPr>
        <w:contextualSpacing/>
      </w:pPr>
      <w:proofErr w:type="spellStart"/>
      <w:r w:rsidRPr="00BF2D4E">
        <w:t>Stoltz</w:t>
      </w:r>
      <w:proofErr w:type="spellEnd"/>
      <w:r w:rsidRPr="00BF2D4E">
        <w:t xml:space="preserve">, P., Drew, M. E., Walk, A. N., &amp; West, J. M. (2013). The sequencing risk threat to retirement adequacy from increased superannuation contributions. </w:t>
      </w:r>
    </w:p>
    <w:p w:rsidR="00F54FD2" w:rsidRDefault="009B135D" w:rsidP="00F54FD2">
      <w:pPr>
        <w:pStyle w:val="ListParagraph"/>
        <w:numPr>
          <w:ilvl w:val="0"/>
          <w:numId w:val="26"/>
        </w:numPr>
        <w:contextualSpacing/>
      </w:pPr>
      <w:r w:rsidRPr="00E51296">
        <w:t xml:space="preserve">WBI </w:t>
      </w:r>
      <w:proofErr w:type="spellStart"/>
      <w:r w:rsidRPr="00E51296">
        <w:t>Invesments</w:t>
      </w:r>
      <w:proofErr w:type="spellEnd"/>
      <w:r w:rsidRPr="00E51296">
        <w:t xml:space="preserve">. </w:t>
      </w:r>
      <w:r>
        <w:t>(</w:t>
      </w:r>
      <w:r w:rsidRPr="00E51296">
        <w:t>2012</w:t>
      </w:r>
      <w:r>
        <w:t>)</w:t>
      </w:r>
      <w:r w:rsidRPr="00E51296">
        <w:t>.Construct Better Portfolios</w:t>
      </w:r>
      <w:r>
        <w:t xml:space="preserve"> Using Capture Ratio Analysis</w:t>
      </w:r>
    </w:p>
    <w:p w:rsidR="009B135D" w:rsidRPr="00E51296" w:rsidRDefault="009B135D" w:rsidP="00F54FD2">
      <w:pPr>
        <w:pStyle w:val="ListParagraph"/>
        <w:numPr>
          <w:ilvl w:val="0"/>
          <w:numId w:val="26"/>
        </w:numPr>
        <w:contextualSpacing/>
      </w:pPr>
      <w:r w:rsidRPr="00E51296">
        <w:t xml:space="preserve">Wells Capital Management. </w:t>
      </w:r>
      <w:r>
        <w:t>(</w:t>
      </w:r>
      <w:r w:rsidRPr="00E51296">
        <w:t>2013</w:t>
      </w:r>
      <w:r>
        <w:t>)</w:t>
      </w:r>
      <w:r w:rsidRPr="00E51296">
        <w:t>.A New Valuation Range fo</w:t>
      </w:r>
      <w:r>
        <w:t xml:space="preserve">r the Stock Market? </w:t>
      </w:r>
      <w:r w:rsidRPr="00E51296">
        <w:t xml:space="preserve"> </w:t>
      </w:r>
    </w:p>
    <w:p w:rsidR="009B135D" w:rsidRPr="00E51296" w:rsidRDefault="009B135D" w:rsidP="009B135D">
      <w:pPr>
        <w:pStyle w:val="ListParagraph"/>
        <w:numPr>
          <w:ilvl w:val="0"/>
          <w:numId w:val="26"/>
        </w:numPr>
        <w:contextualSpacing/>
      </w:pPr>
      <w:proofErr w:type="spellStart"/>
      <w:r w:rsidRPr="00E51296">
        <w:t>Yeh</w:t>
      </w:r>
      <w:proofErr w:type="spellEnd"/>
      <w:r w:rsidRPr="00E51296">
        <w:t xml:space="preserve"> T, Guan N. </w:t>
      </w:r>
      <w:r>
        <w:t>(</w:t>
      </w:r>
      <w:r w:rsidRPr="00E51296">
        <w:t>2013</w:t>
      </w:r>
      <w:r>
        <w:t>)</w:t>
      </w:r>
      <w:r w:rsidRPr="00E51296">
        <w:t>.</w:t>
      </w:r>
      <w:r>
        <w:t xml:space="preserve"> </w:t>
      </w:r>
      <w:r w:rsidRPr="00E51296">
        <w:t>Investing in Priva</w:t>
      </w:r>
      <w:r>
        <w:t xml:space="preserve">te Growth Companies. </w:t>
      </w:r>
      <w:proofErr w:type="spellStart"/>
      <w:r>
        <w:t>Sharespost</w:t>
      </w:r>
      <w:proofErr w:type="spellEnd"/>
      <w:r w:rsidRPr="00E51296">
        <w:t xml:space="preserve"> </w:t>
      </w:r>
    </w:p>
    <w:p w:rsidR="007F07E5" w:rsidRDefault="007F07E5" w:rsidP="003B704F">
      <w:pPr>
        <w:autoSpaceDE w:val="0"/>
        <w:autoSpaceDN w:val="0"/>
        <w:adjustRightInd w:val="0"/>
        <w:jc w:val="both"/>
        <w:rPr>
          <w:lang w:eastAsia="hr-HR"/>
        </w:rPr>
      </w:pPr>
    </w:p>
    <w:p w:rsidR="007F07E5" w:rsidRDefault="007F07E5" w:rsidP="003B704F">
      <w:pPr>
        <w:autoSpaceDE w:val="0"/>
        <w:autoSpaceDN w:val="0"/>
        <w:adjustRightInd w:val="0"/>
        <w:jc w:val="both"/>
        <w:rPr>
          <w:lang w:eastAsia="hr-HR"/>
        </w:rPr>
      </w:pPr>
    </w:p>
    <w:p w:rsidR="007F07E5" w:rsidRDefault="007F07E5" w:rsidP="003B704F">
      <w:pPr>
        <w:autoSpaceDE w:val="0"/>
        <w:autoSpaceDN w:val="0"/>
        <w:adjustRightInd w:val="0"/>
        <w:jc w:val="both"/>
        <w:rPr>
          <w:lang w:eastAsia="hr-HR"/>
        </w:rPr>
      </w:pPr>
    </w:p>
    <w:p w:rsidR="007F07E5" w:rsidRDefault="007F07E5" w:rsidP="003B704F">
      <w:pPr>
        <w:autoSpaceDE w:val="0"/>
        <w:autoSpaceDN w:val="0"/>
        <w:adjustRightInd w:val="0"/>
        <w:jc w:val="both"/>
        <w:rPr>
          <w:lang w:eastAsia="hr-HR"/>
        </w:rPr>
      </w:pPr>
    </w:p>
    <w:p w:rsidR="007F07E5" w:rsidRPr="00BC44D5" w:rsidRDefault="007F07E5" w:rsidP="003B704F">
      <w:pPr>
        <w:autoSpaceDE w:val="0"/>
        <w:autoSpaceDN w:val="0"/>
        <w:adjustRightInd w:val="0"/>
        <w:jc w:val="both"/>
        <w:rPr>
          <w:lang w:eastAsia="hr-HR"/>
        </w:rPr>
      </w:pPr>
    </w:p>
    <w:sectPr w:rsidR="007F07E5" w:rsidRPr="00BC44D5" w:rsidSect="003D1D07">
      <w:headerReference w:type="even" r:id="rId53"/>
      <w:headerReference w:type="default" r:id="rId54"/>
      <w:headerReference w:type="first" r:id="rId55"/>
      <w:footerReference w:type="first" r:id="rId56"/>
      <w:pgSz w:w="11906" w:h="16838"/>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1FF" w:rsidRDefault="002971FF">
      <w:r>
        <w:separator/>
      </w:r>
    </w:p>
  </w:endnote>
  <w:endnote w:type="continuationSeparator" w:id="0">
    <w:p w:rsidR="002971FF" w:rsidRDefault="002971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libri Light">
    <w:altName w:val="Segoe UI"/>
    <w:charset w:val="EE"/>
    <w:family w:val="swiss"/>
    <w:pitch w:val="variable"/>
    <w:sig w:usb0="00000001" w:usb1="4000207B"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A8" w:rsidRPr="00FE7BC6" w:rsidRDefault="006E26A8" w:rsidP="006C0348">
    <w:pPr>
      <w:pStyle w:val="Footer"/>
      <w:ind w:right="360"/>
      <w:rPr>
        <w:sz w:val="18"/>
        <w:szCs w:val="18"/>
      </w:rPr>
    </w:pPr>
    <w:r w:rsidRPr="006C0348">
      <w:rPr>
        <w:sz w:val="18"/>
        <w:szCs w:val="18"/>
        <w:lang w:val="hr-HR" w:eastAsia="hr-HR"/>
      </w:rPr>
      <w:t>http://www.hdoi.hr/crorr-journal</w:t>
    </w:r>
    <w:r>
      <w:rPr>
        <w:sz w:val="18"/>
        <w:szCs w:val="18"/>
        <w:lang w:val="hr-HR" w:eastAsia="hr-HR"/>
      </w:rPr>
      <w:t xml:space="preserve">                                                                  </w:t>
    </w:r>
    <w:r w:rsidRPr="00FE7BC6">
      <w:rPr>
        <w:sz w:val="18"/>
        <w:szCs w:val="18"/>
        <w:lang w:val="hr-HR" w:eastAsia="hr-HR"/>
      </w:rPr>
      <w:t>©201x Croatian Operational Research Society</w:t>
    </w:r>
  </w:p>
  <w:p w:rsidR="006E26A8" w:rsidRDefault="006E26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1FF" w:rsidRDefault="002971FF">
      <w:r>
        <w:separator/>
      </w:r>
    </w:p>
  </w:footnote>
  <w:footnote w:type="continuationSeparator" w:id="0">
    <w:p w:rsidR="002971FF" w:rsidRDefault="002971FF">
      <w:r>
        <w:continuationSeparator/>
      </w:r>
    </w:p>
  </w:footnote>
  <w:footnote w:id="1">
    <w:p w:rsidR="006E26A8" w:rsidRPr="00FE21BE" w:rsidRDefault="006E26A8" w:rsidP="00CB3037">
      <w:pPr>
        <w:pStyle w:val="FootnoteText"/>
        <w:rPr>
          <w:lang w:val="hr-HR"/>
        </w:rPr>
      </w:pPr>
      <w:r>
        <w:rPr>
          <w:rStyle w:val="FootnoteReference"/>
        </w:rPr>
        <w:footnoteRef/>
      </w:r>
      <w:r>
        <w:t xml:space="preserve"> </w:t>
      </w:r>
      <w:r>
        <w:rPr>
          <w:lang w:val="hr-HR"/>
        </w:rPr>
        <w:t>Corresponding author</w:t>
      </w:r>
    </w:p>
  </w:footnote>
  <w:footnote w:id="2">
    <w:p w:rsidR="00F90E3D" w:rsidRDefault="00F90E3D">
      <w:pPr>
        <w:pStyle w:val="FootnoteText"/>
      </w:pPr>
      <w:r>
        <w:rPr>
          <w:rStyle w:val="FootnoteReference"/>
        </w:rPr>
        <w:footnoteRef/>
      </w:r>
      <w:r>
        <w:t xml:space="preserve"> </w:t>
      </w:r>
      <w:r w:rsidRPr="00F90E3D">
        <w:t xml:space="preserve">Bogdanovski V, </w:t>
      </w:r>
      <w:proofErr w:type="spellStart"/>
      <w:r w:rsidRPr="00F90E3D">
        <w:t>Percinkova</w:t>
      </w:r>
      <w:proofErr w:type="spellEnd"/>
      <w:r w:rsidRPr="00F90E3D">
        <w:t xml:space="preserve"> B. (2012). Optimal portfolio of securities listed on the Macedonian stock exch</w:t>
      </w:r>
      <w:r w:rsidR="00FE07F1">
        <w:t xml:space="preserve">ange. </w:t>
      </w:r>
      <w:proofErr w:type="gramStart"/>
      <w:r w:rsidR="00FE07F1">
        <w:t xml:space="preserve">Faces </w:t>
      </w:r>
      <w:r w:rsidR="00EE730E">
        <w:t>of the crisis.</w:t>
      </w:r>
      <w:proofErr w:type="gramEnd"/>
      <w:r w:rsidR="00FE07F1">
        <w:t xml:space="preserve"> EURM, 702-711.</w:t>
      </w:r>
    </w:p>
  </w:footnote>
  <w:footnote w:id="3">
    <w:p w:rsidR="00AC0DB5" w:rsidRDefault="00AC0DB5">
      <w:pPr>
        <w:pStyle w:val="FootnoteText"/>
      </w:pPr>
      <w:r>
        <w:rPr>
          <w:rStyle w:val="FootnoteReference"/>
        </w:rPr>
        <w:footnoteRef/>
      </w:r>
      <w:r>
        <w:t xml:space="preserve"> </w:t>
      </w:r>
      <w:proofErr w:type="spellStart"/>
      <w:proofErr w:type="gramStart"/>
      <w:r w:rsidR="00473C3A">
        <w:t>eV</w:t>
      </w:r>
      <w:r>
        <w:t>estment</w:t>
      </w:r>
      <w:proofErr w:type="spellEnd"/>
      <w:proofErr w:type="gramEnd"/>
      <w:r w:rsidR="00473C3A">
        <w:t xml:space="preserve">. </w:t>
      </w:r>
      <w:r w:rsidR="00473C3A" w:rsidRPr="00473C3A">
        <w:t xml:space="preserve">Guide </w:t>
      </w:r>
      <w:proofErr w:type="gramStart"/>
      <w:r w:rsidR="00473C3A" w:rsidRPr="00473C3A">
        <w:t>To</w:t>
      </w:r>
      <w:proofErr w:type="gramEnd"/>
      <w:r w:rsidR="00473C3A" w:rsidRPr="00473C3A">
        <w:t xml:space="preserve"> Investment Statistics</w:t>
      </w:r>
      <w:r w:rsidR="00473C3A">
        <w:t xml:space="preserve">. </w:t>
      </w:r>
      <w:hyperlink r:id="rId1" w:history="1">
        <w:r w:rsidR="00473C3A" w:rsidRPr="00D11429">
          <w:rPr>
            <w:rStyle w:val="Hyperlink"/>
          </w:rPr>
          <w:t>https://www.evestment.com/resources/investment-statistics-guide</w:t>
        </w:r>
      </w:hyperlink>
      <w:r w:rsidR="00473C3A">
        <w:t xml:space="preserve"> [Accessed 24.09.2014].</w:t>
      </w:r>
    </w:p>
  </w:footnote>
  <w:footnote w:id="4">
    <w:p w:rsidR="00FA0714" w:rsidRDefault="00FA0714">
      <w:pPr>
        <w:pStyle w:val="FootnoteText"/>
      </w:pPr>
      <w:r>
        <w:rPr>
          <w:rStyle w:val="FootnoteReference"/>
        </w:rPr>
        <w:footnoteRef/>
      </w:r>
      <w:r>
        <w:t xml:space="preserve"> </w:t>
      </w:r>
      <w:proofErr w:type="spellStart"/>
      <w:r w:rsidR="008205D9" w:rsidRPr="008205D9">
        <w:t>Plantinga</w:t>
      </w:r>
      <w:proofErr w:type="spellEnd"/>
      <w:r w:rsidR="008205D9" w:rsidRPr="008205D9">
        <w:t xml:space="preserve">, A., van </w:t>
      </w:r>
      <w:proofErr w:type="spellStart"/>
      <w:r w:rsidR="008205D9" w:rsidRPr="008205D9">
        <w:t>der</w:t>
      </w:r>
      <w:proofErr w:type="spellEnd"/>
      <w:r w:rsidR="008205D9" w:rsidRPr="008205D9">
        <w:t xml:space="preserve"> Meer, R., &amp; </w:t>
      </w:r>
      <w:proofErr w:type="spellStart"/>
      <w:r w:rsidR="008205D9" w:rsidRPr="008205D9">
        <w:t>Sortino</w:t>
      </w:r>
      <w:proofErr w:type="spellEnd"/>
      <w:r w:rsidR="008205D9" w:rsidRPr="008205D9">
        <w:t xml:space="preserve">, F. (2001). </w:t>
      </w:r>
      <w:proofErr w:type="gramStart"/>
      <w:r w:rsidR="008205D9" w:rsidRPr="008205D9">
        <w:t xml:space="preserve">The impact of downside risk on risk-adjusted performance of mutual funds in the </w:t>
      </w:r>
      <w:proofErr w:type="spellStart"/>
      <w:r w:rsidR="008205D9" w:rsidRPr="008205D9">
        <w:t>Euronext</w:t>
      </w:r>
      <w:proofErr w:type="spellEnd"/>
      <w:r w:rsidR="008205D9" w:rsidRPr="008205D9">
        <w:t xml:space="preserve"> markets.</w:t>
      </w:r>
      <w:proofErr w:type="gramEnd"/>
      <w:r w:rsidR="008205D9" w:rsidRPr="008205D9">
        <w:t xml:space="preserve"> Geneva Pape</w:t>
      </w:r>
      <w:r w:rsidR="008205D9">
        <w:t>rs on Risk and Insurance, 1-14.</w:t>
      </w:r>
    </w:p>
  </w:footnote>
  <w:footnote w:id="5">
    <w:p w:rsidR="008A6F63" w:rsidRDefault="008A6F63">
      <w:pPr>
        <w:pStyle w:val="FootnoteText"/>
      </w:pPr>
      <w:r>
        <w:rPr>
          <w:rStyle w:val="FootnoteReference"/>
        </w:rPr>
        <w:footnoteRef/>
      </w:r>
      <w:r>
        <w:t xml:space="preserve"> </w:t>
      </w:r>
      <w:proofErr w:type="spellStart"/>
      <w:proofErr w:type="gramStart"/>
      <w:r w:rsidR="008205D9" w:rsidRPr="008205D9">
        <w:t>Sortino</w:t>
      </w:r>
      <w:proofErr w:type="spellEnd"/>
      <w:r w:rsidR="008205D9" w:rsidRPr="008205D9">
        <w:t xml:space="preserve">, F. A., Van de Meer, R., </w:t>
      </w:r>
      <w:proofErr w:type="spellStart"/>
      <w:r w:rsidR="008205D9" w:rsidRPr="008205D9">
        <w:t>Plantinga</w:t>
      </w:r>
      <w:proofErr w:type="spellEnd"/>
      <w:r w:rsidR="008205D9" w:rsidRPr="008205D9">
        <w:t xml:space="preserve">, A., &amp; </w:t>
      </w:r>
      <w:proofErr w:type="spellStart"/>
      <w:r w:rsidR="008205D9" w:rsidRPr="008205D9">
        <w:t>Forsey</w:t>
      </w:r>
      <w:proofErr w:type="spellEnd"/>
      <w:r w:rsidR="008205D9" w:rsidRPr="008205D9">
        <w:t>, H. (2003).</w:t>
      </w:r>
      <w:proofErr w:type="gramEnd"/>
      <w:r w:rsidR="008205D9" w:rsidRPr="008205D9">
        <w:t xml:space="preserve"> The Upside Potential Ratio: What </w:t>
      </w:r>
      <w:proofErr w:type="gramStart"/>
      <w:r w:rsidR="008205D9" w:rsidRPr="008205D9">
        <w:t>are</w:t>
      </w:r>
      <w:proofErr w:type="gramEnd"/>
      <w:r w:rsidR="008205D9" w:rsidRPr="008205D9">
        <w:t xml:space="preserve"> We Trying to Measure. </w:t>
      </w:r>
      <w:proofErr w:type="gramStart"/>
      <w:r w:rsidR="008205D9" w:rsidRPr="008205D9">
        <w:t>Senior Consultant, 6(11).</w:t>
      </w:r>
      <w:proofErr w:type="gramEnd"/>
    </w:p>
  </w:footnote>
  <w:footnote w:id="6">
    <w:p w:rsidR="00F90E3D" w:rsidRDefault="00F90E3D">
      <w:pPr>
        <w:pStyle w:val="FootnoteText"/>
      </w:pPr>
      <w:r>
        <w:rPr>
          <w:rStyle w:val="FootnoteReference"/>
        </w:rPr>
        <w:footnoteRef/>
      </w:r>
      <w:r>
        <w:t xml:space="preserve"> </w:t>
      </w:r>
      <w:r w:rsidR="008205D9" w:rsidRPr="008205D9">
        <w:t xml:space="preserve">Bacon, C. (2000). How sharp is the Sharpe-ratio?-Risk-adjusted Performance Measures. </w:t>
      </w:r>
      <w:proofErr w:type="spellStart"/>
      <w:proofErr w:type="gramStart"/>
      <w:r w:rsidR="008205D9" w:rsidRPr="008205D9">
        <w:t>Statpro</w:t>
      </w:r>
      <w:proofErr w:type="spellEnd"/>
      <w:r w:rsidR="008205D9" w:rsidRPr="008205D9">
        <w:t xml:space="preserve"> White Paper.</w:t>
      </w:r>
      <w:proofErr w:type="gramEnd"/>
    </w:p>
  </w:footnote>
  <w:footnote w:id="7">
    <w:p w:rsidR="00FE07F1" w:rsidRDefault="00FE07F1">
      <w:pPr>
        <w:pStyle w:val="FootnoteText"/>
      </w:pPr>
      <w:r>
        <w:rPr>
          <w:rStyle w:val="FootnoteReference"/>
        </w:rPr>
        <w:footnoteRef/>
      </w:r>
      <w:r>
        <w:t xml:space="preserve"> </w:t>
      </w:r>
      <w:proofErr w:type="gramStart"/>
      <w:r w:rsidR="008205D9" w:rsidRPr="008205D9">
        <w:t xml:space="preserve">Le </w:t>
      </w:r>
      <w:proofErr w:type="spellStart"/>
      <w:r w:rsidR="008205D9" w:rsidRPr="008205D9">
        <w:t>Sourd</w:t>
      </w:r>
      <w:proofErr w:type="spellEnd"/>
      <w:r w:rsidR="008205D9" w:rsidRPr="008205D9">
        <w:t>, V. (2007).</w:t>
      </w:r>
      <w:proofErr w:type="gramEnd"/>
      <w:r w:rsidR="008205D9" w:rsidRPr="008205D9">
        <w:t xml:space="preserve"> </w:t>
      </w:r>
      <w:proofErr w:type="gramStart"/>
      <w:r w:rsidR="008205D9" w:rsidRPr="008205D9">
        <w:t>Performance measurement for traditional investment.</w:t>
      </w:r>
      <w:proofErr w:type="gramEnd"/>
      <w:r w:rsidR="008205D9" w:rsidRPr="008205D9">
        <w:t xml:space="preserve"> </w:t>
      </w:r>
      <w:proofErr w:type="gramStart"/>
      <w:r w:rsidR="008205D9" w:rsidRPr="008205D9">
        <w:t>EDHEC publication, Nice.</w:t>
      </w:r>
      <w:proofErr w:type="gramEnd"/>
    </w:p>
  </w:footnote>
  <w:footnote w:id="8">
    <w:p w:rsidR="00DD555C" w:rsidRDefault="00DD555C">
      <w:pPr>
        <w:pStyle w:val="FootnoteText"/>
      </w:pPr>
      <w:r>
        <w:rPr>
          <w:rStyle w:val="FootnoteReference"/>
        </w:rPr>
        <w:footnoteRef/>
      </w:r>
      <w:r>
        <w:t xml:space="preserve"> </w:t>
      </w:r>
      <w:r w:rsidR="00F54FD2" w:rsidRPr="00F54FD2">
        <w:t xml:space="preserve">De Wet R, </w:t>
      </w:r>
      <w:proofErr w:type="spellStart"/>
      <w:r w:rsidR="00F54FD2" w:rsidRPr="00F54FD2">
        <w:t>Krige</w:t>
      </w:r>
      <w:proofErr w:type="spellEnd"/>
      <w:r w:rsidR="00F54FD2" w:rsidRPr="00F54FD2">
        <w:t xml:space="preserve"> N, </w:t>
      </w:r>
      <w:proofErr w:type="spellStart"/>
      <w:r w:rsidR="00F54FD2" w:rsidRPr="00F54FD2">
        <w:t>Smit</w:t>
      </w:r>
      <w:proofErr w:type="spellEnd"/>
      <w:r w:rsidR="00F54FD2" w:rsidRPr="00F54FD2">
        <w:t xml:space="preserve"> E. (2009). Omega sharpens portfolio performance </w:t>
      </w:r>
      <w:proofErr w:type="gramStart"/>
      <w:r w:rsidR="00F54FD2" w:rsidRPr="00F54FD2">
        <w:t>evaluation .</w:t>
      </w:r>
      <w:proofErr w:type="gramEnd"/>
      <w:r w:rsidR="00F54FD2" w:rsidRPr="00F54FD2">
        <w:t xml:space="preserve"> USB Leaders Lab; </w:t>
      </w:r>
      <w:proofErr w:type="spellStart"/>
      <w:r w:rsidR="00F54FD2" w:rsidRPr="00F54FD2">
        <w:t>Vol</w:t>
      </w:r>
      <w:proofErr w:type="spellEnd"/>
      <w:r w:rsidR="00F54FD2" w:rsidRPr="00F54FD2">
        <w:t xml:space="preserve"> 3 No 2</w:t>
      </w:r>
    </w:p>
  </w:footnote>
  <w:footnote w:id="9">
    <w:p w:rsidR="00F90E3D" w:rsidRDefault="00F90E3D">
      <w:pPr>
        <w:pStyle w:val="FootnoteText"/>
      </w:pPr>
    </w:p>
  </w:footnote>
  <w:footnote w:id="10">
    <w:p w:rsidR="00F54FD2" w:rsidRDefault="00F54FD2">
      <w:pPr>
        <w:pStyle w:val="FootnoteText"/>
      </w:pPr>
      <w:r>
        <w:rPr>
          <w:rStyle w:val="FootnoteReference"/>
        </w:rPr>
        <w:footnoteRef/>
      </w:r>
      <w:r>
        <w:t xml:space="preserve"> </w:t>
      </w:r>
      <w:r w:rsidR="00325B20" w:rsidRPr="00325B20">
        <w:t>Calmar Ratio</w:t>
      </w:r>
      <w:r w:rsidRPr="00F54FD2">
        <w:t>.</w:t>
      </w:r>
      <w:r w:rsidR="00325B20">
        <w:t xml:space="preserve"> </w:t>
      </w:r>
      <w:hyperlink r:id="rId2" w:history="1">
        <w:r w:rsidR="00325B20" w:rsidRPr="00D11429">
          <w:rPr>
            <w:rStyle w:val="Hyperlink"/>
          </w:rPr>
          <w:t>http://investexcel.net/calmar-ratio/</w:t>
        </w:r>
      </w:hyperlink>
      <w:r w:rsidR="00325B20">
        <w:t xml:space="preserve">   </w:t>
      </w:r>
      <w:r w:rsidRPr="00F54FD2">
        <w:t>[Accessed 24.09.2014].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A8" w:rsidRPr="005273B2" w:rsidRDefault="006E26A8" w:rsidP="00491C2D">
    <w:pPr>
      <w:pStyle w:val="Header"/>
      <w:jc w:val="center"/>
      <w:rPr>
        <w:noProof/>
      </w:rPr>
    </w:pPr>
    <w:r w:rsidRPr="00491C2D">
      <w:rPr>
        <w:sz w:val="18"/>
        <w:szCs w:val="18"/>
      </w:rPr>
      <w:t xml:space="preserve">Petar Taleski, PhD. Vasko Bogdanovski M. Sc. </w:t>
    </w:r>
    <w:r>
      <w:rPr>
        <w:sz w:val="18"/>
        <w:szCs w:val="18"/>
      </w:rPr>
      <w:t xml:space="preserve"> </w:t>
    </w:r>
    <w:r>
      <w:rPr>
        <w:sz w:val="18"/>
        <w:szCs w:val="18"/>
      </w:rPr>
      <w:tab/>
    </w:r>
    <w:r>
      <w:rPr>
        <w:sz w:val="18"/>
        <w:szCs w:val="18"/>
      </w:rPr>
      <w:tab/>
    </w:r>
    <w:r w:rsidR="003413B7" w:rsidRPr="005273B2">
      <w:fldChar w:fldCharType="begin"/>
    </w:r>
    <w:r w:rsidRPr="005273B2">
      <w:instrText xml:space="preserve"> PAGE   \* MERGEFORMAT </w:instrText>
    </w:r>
    <w:r w:rsidR="003413B7" w:rsidRPr="005273B2">
      <w:fldChar w:fldCharType="separate"/>
    </w:r>
    <w:r w:rsidR="0067112E">
      <w:rPr>
        <w:noProof/>
      </w:rPr>
      <w:t>12</w:t>
    </w:r>
    <w:r w:rsidR="003413B7" w:rsidRPr="005273B2">
      <w:rPr>
        <w:noProof/>
      </w:rPr>
      <w:fldChar w:fldCharType="end"/>
    </w:r>
  </w:p>
  <w:p w:rsidR="006E26A8" w:rsidRDefault="006E26A8" w:rsidP="005273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A8" w:rsidRPr="00491C2D" w:rsidRDefault="006E26A8" w:rsidP="00491C2D">
    <w:pPr>
      <w:pStyle w:val="Header"/>
      <w:jc w:val="right"/>
      <w:rPr>
        <w:sz w:val="18"/>
        <w:szCs w:val="18"/>
      </w:rPr>
    </w:pPr>
    <w:r w:rsidRPr="00491C2D">
      <w:rPr>
        <w:sz w:val="18"/>
        <w:szCs w:val="18"/>
      </w:rPr>
      <w:t>Statistical analyses of investment and pension f</w:t>
    </w:r>
    <w:r>
      <w:rPr>
        <w:sz w:val="18"/>
        <w:szCs w:val="18"/>
      </w:rPr>
      <w:t xml:space="preserve">unds’ </w:t>
    </w:r>
    <w:r w:rsidRPr="00491C2D">
      <w:rPr>
        <w:sz w:val="18"/>
        <w:szCs w:val="18"/>
      </w:rPr>
      <w:t>performances from R. Macedonia</w:t>
    </w:r>
    <w:r>
      <w:rPr>
        <w:sz w:val="18"/>
        <w:szCs w:val="18"/>
      </w:rPr>
      <w:t xml:space="preserve"> </w:t>
    </w:r>
    <w:r w:rsidR="003413B7" w:rsidRPr="005273B2">
      <w:fldChar w:fldCharType="begin"/>
    </w:r>
    <w:r w:rsidRPr="005273B2">
      <w:instrText xml:space="preserve"> PAGE   \* MERGEFORMAT </w:instrText>
    </w:r>
    <w:r w:rsidR="003413B7" w:rsidRPr="005273B2">
      <w:fldChar w:fldCharType="separate"/>
    </w:r>
    <w:r w:rsidR="0067112E">
      <w:rPr>
        <w:noProof/>
      </w:rPr>
      <w:t>13</w:t>
    </w:r>
    <w:r w:rsidR="003413B7" w:rsidRPr="005273B2">
      <w:rPr>
        <w:noProof/>
      </w:rPr>
      <w:fldChar w:fldCharType="end"/>
    </w:r>
  </w:p>
  <w:p w:rsidR="006E26A8" w:rsidRDefault="006E26A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A8" w:rsidRPr="0041497A" w:rsidRDefault="006E26A8" w:rsidP="006C0348">
    <w:pPr>
      <w:pStyle w:val="Header"/>
      <w:rPr>
        <w:sz w:val="20"/>
        <w:szCs w:val="20"/>
      </w:rPr>
    </w:pPr>
    <w:r w:rsidRPr="0041497A">
      <w:rPr>
        <w:sz w:val="20"/>
        <w:szCs w:val="20"/>
      </w:rPr>
      <w:t>Croatian Operational Research Review</w:t>
    </w:r>
  </w:p>
  <w:p w:rsidR="006E26A8" w:rsidRPr="0041497A" w:rsidRDefault="006E26A8" w:rsidP="006C0348">
    <w:pPr>
      <w:pStyle w:val="Header"/>
      <w:rPr>
        <w:sz w:val="20"/>
        <w:szCs w:val="20"/>
      </w:rPr>
    </w:pPr>
    <w:r w:rsidRPr="0041497A">
      <w:rPr>
        <w:sz w:val="20"/>
        <w:szCs w:val="20"/>
      </w:rPr>
      <w:t>CRORR x (201x)</w:t>
    </w:r>
    <w:r>
      <w:rPr>
        <w:sz w:val="20"/>
        <w:szCs w:val="20"/>
      </w:rPr>
      <w:t>, 1-5</w:t>
    </w:r>
  </w:p>
  <w:p w:rsidR="006E26A8" w:rsidRDefault="006E26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3F46"/>
    <w:multiLevelType w:val="multilevel"/>
    <w:tmpl w:val="2B188482"/>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2033"/>
        </w:tabs>
        <w:ind w:left="2033" w:hanging="600"/>
      </w:pPr>
      <w:rPr>
        <w:rFonts w:hint="default"/>
      </w:rPr>
    </w:lvl>
    <w:lvl w:ilvl="2">
      <w:start w:val="1"/>
      <w:numFmt w:val="decimal"/>
      <w:lvlText w:val="%1.%2.%3."/>
      <w:lvlJc w:val="left"/>
      <w:pPr>
        <w:tabs>
          <w:tab w:val="num" w:pos="3586"/>
        </w:tabs>
        <w:ind w:left="3586" w:hanging="720"/>
      </w:pPr>
      <w:rPr>
        <w:rFonts w:hint="default"/>
      </w:rPr>
    </w:lvl>
    <w:lvl w:ilvl="3">
      <w:start w:val="1"/>
      <w:numFmt w:val="decimal"/>
      <w:lvlText w:val="%1.%2.%3.%4."/>
      <w:lvlJc w:val="left"/>
      <w:pPr>
        <w:tabs>
          <w:tab w:val="num" w:pos="5019"/>
        </w:tabs>
        <w:ind w:left="5019" w:hanging="720"/>
      </w:pPr>
      <w:rPr>
        <w:rFonts w:hint="default"/>
      </w:rPr>
    </w:lvl>
    <w:lvl w:ilvl="4">
      <w:start w:val="1"/>
      <w:numFmt w:val="decimal"/>
      <w:lvlText w:val="%1.%2.%3.%4.%5."/>
      <w:lvlJc w:val="left"/>
      <w:pPr>
        <w:tabs>
          <w:tab w:val="num" w:pos="6812"/>
        </w:tabs>
        <w:ind w:left="6812" w:hanging="1080"/>
      </w:pPr>
      <w:rPr>
        <w:rFonts w:hint="default"/>
      </w:rPr>
    </w:lvl>
    <w:lvl w:ilvl="5">
      <w:start w:val="1"/>
      <w:numFmt w:val="decimal"/>
      <w:lvlText w:val="%1.%2.%3.%4.%5.%6."/>
      <w:lvlJc w:val="left"/>
      <w:pPr>
        <w:tabs>
          <w:tab w:val="num" w:pos="8245"/>
        </w:tabs>
        <w:ind w:left="8245" w:hanging="1080"/>
      </w:pPr>
      <w:rPr>
        <w:rFonts w:hint="default"/>
      </w:rPr>
    </w:lvl>
    <w:lvl w:ilvl="6">
      <w:start w:val="1"/>
      <w:numFmt w:val="decimal"/>
      <w:lvlText w:val="%1.%2.%3.%4.%5.%6.%7."/>
      <w:lvlJc w:val="left"/>
      <w:pPr>
        <w:tabs>
          <w:tab w:val="num" w:pos="10038"/>
        </w:tabs>
        <w:ind w:left="10038" w:hanging="1440"/>
      </w:pPr>
      <w:rPr>
        <w:rFonts w:hint="default"/>
      </w:rPr>
    </w:lvl>
    <w:lvl w:ilvl="7">
      <w:start w:val="1"/>
      <w:numFmt w:val="decimal"/>
      <w:lvlText w:val="%1.%2.%3.%4.%5.%6.%7.%8."/>
      <w:lvlJc w:val="left"/>
      <w:pPr>
        <w:tabs>
          <w:tab w:val="num" w:pos="11471"/>
        </w:tabs>
        <w:ind w:left="11471" w:hanging="1440"/>
      </w:pPr>
      <w:rPr>
        <w:rFonts w:hint="default"/>
      </w:rPr>
    </w:lvl>
    <w:lvl w:ilvl="8">
      <w:start w:val="1"/>
      <w:numFmt w:val="decimal"/>
      <w:lvlText w:val="%1.%2.%3.%4.%5.%6.%7.%8.%9."/>
      <w:lvlJc w:val="left"/>
      <w:pPr>
        <w:tabs>
          <w:tab w:val="num" w:pos="13264"/>
        </w:tabs>
        <w:ind w:left="13264" w:hanging="1800"/>
      </w:pPr>
      <w:rPr>
        <w:rFonts w:hint="default"/>
      </w:rPr>
    </w:lvl>
  </w:abstractNum>
  <w:abstractNum w:abstractNumId="1">
    <w:nsid w:val="04BD666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nsid w:val="0D0229BB"/>
    <w:multiLevelType w:val="hybridMultilevel"/>
    <w:tmpl w:val="5838CF2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nsid w:val="0E05082D"/>
    <w:multiLevelType w:val="multilevel"/>
    <w:tmpl w:val="95EE5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244D99"/>
    <w:multiLevelType w:val="hybridMultilevel"/>
    <w:tmpl w:val="887ECC98"/>
    <w:lvl w:ilvl="0" w:tplc="CEF0586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nsid w:val="14941BAE"/>
    <w:multiLevelType w:val="hybridMultilevel"/>
    <w:tmpl w:val="5324F86C"/>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6">
    <w:nsid w:val="15800B0A"/>
    <w:multiLevelType w:val="hybridMultilevel"/>
    <w:tmpl w:val="4094E41E"/>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7">
    <w:nsid w:val="17F11D42"/>
    <w:multiLevelType w:val="hybridMultilevel"/>
    <w:tmpl w:val="3A88C608"/>
    <w:lvl w:ilvl="0" w:tplc="5A6080F2">
      <w:numFmt w:val="bullet"/>
      <w:lvlText w:val="•"/>
      <w:lvlJc w:val="left"/>
      <w:pPr>
        <w:ind w:left="1080" w:hanging="720"/>
      </w:pPr>
      <w:rPr>
        <w:rFonts w:ascii="Times New Roman" w:eastAsia="Times New Roman"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8">
    <w:nsid w:val="1E097357"/>
    <w:multiLevelType w:val="hybridMultilevel"/>
    <w:tmpl w:val="087847E8"/>
    <w:lvl w:ilvl="0" w:tplc="04090001">
      <w:start w:val="1"/>
      <w:numFmt w:val="bullet"/>
      <w:lvlText w:val=""/>
      <w:lvlJc w:val="left"/>
      <w:pPr>
        <w:tabs>
          <w:tab w:val="num" w:pos="720"/>
        </w:tabs>
        <w:ind w:left="720" w:hanging="360"/>
      </w:pPr>
      <w:rPr>
        <w:rFonts w:ascii="Symbol" w:hAnsi="Symbol" w:cs="Symbol" w:hint="default"/>
      </w:rPr>
    </w:lvl>
    <w:lvl w:ilvl="1" w:tplc="1E949502">
      <w:start w:val="1"/>
      <w:numFmt w:val="bullet"/>
      <w:lvlText w:val=""/>
      <w:lvlJc w:val="left"/>
      <w:pPr>
        <w:tabs>
          <w:tab w:val="num" w:pos="1440"/>
        </w:tabs>
        <w:ind w:left="1440" w:hanging="360"/>
      </w:pPr>
      <w:rPr>
        <w:rFonts w:ascii="Wingdings" w:hAnsi="Wingdings" w:cs="Wingdings"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2DFD0459"/>
    <w:multiLevelType w:val="hybridMultilevel"/>
    <w:tmpl w:val="36A246F4"/>
    <w:lvl w:ilvl="0" w:tplc="5A6080F2">
      <w:numFmt w:val="bullet"/>
      <w:lvlText w:val="•"/>
      <w:lvlJc w:val="left"/>
      <w:pPr>
        <w:ind w:left="1080" w:hanging="720"/>
      </w:pPr>
      <w:rPr>
        <w:rFonts w:ascii="Times New Roman" w:eastAsia="Times New Roman"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0">
    <w:nsid w:val="2E2D353D"/>
    <w:multiLevelType w:val="hybridMultilevel"/>
    <w:tmpl w:val="2B56D96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nsid w:val="2F964171"/>
    <w:multiLevelType w:val="multilevel"/>
    <w:tmpl w:val="9488AB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28E2D0E"/>
    <w:multiLevelType w:val="hybridMultilevel"/>
    <w:tmpl w:val="5D32CF84"/>
    <w:lvl w:ilvl="0" w:tplc="5A6080F2">
      <w:numFmt w:val="bullet"/>
      <w:lvlText w:val="•"/>
      <w:lvlJc w:val="left"/>
      <w:pPr>
        <w:ind w:left="1080" w:hanging="720"/>
      </w:pPr>
      <w:rPr>
        <w:rFonts w:ascii="Times New Roman" w:eastAsia="Times New Roman"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nsid w:val="36260253"/>
    <w:multiLevelType w:val="hybridMultilevel"/>
    <w:tmpl w:val="A6D26B26"/>
    <w:lvl w:ilvl="0" w:tplc="5A6080F2">
      <w:numFmt w:val="bullet"/>
      <w:lvlText w:val="•"/>
      <w:lvlJc w:val="left"/>
      <w:pPr>
        <w:ind w:left="1440" w:hanging="72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4">
    <w:nsid w:val="36FC1197"/>
    <w:multiLevelType w:val="hybridMultilevel"/>
    <w:tmpl w:val="77AC81D8"/>
    <w:lvl w:ilvl="0" w:tplc="B5203324">
      <w:start w:val="759"/>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27B17CA"/>
    <w:multiLevelType w:val="hybridMultilevel"/>
    <w:tmpl w:val="4F6AEF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47B72F8"/>
    <w:multiLevelType w:val="hybridMultilevel"/>
    <w:tmpl w:val="7436D0F2"/>
    <w:lvl w:ilvl="0" w:tplc="B3AA0684">
      <w:start w:val="77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6212FAB"/>
    <w:multiLevelType w:val="hybridMultilevel"/>
    <w:tmpl w:val="D84C7F5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8">
    <w:nsid w:val="47C17BAB"/>
    <w:multiLevelType w:val="multilevel"/>
    <w:tmpl w:val="2C8C742E"/>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53867DB0"/>
    <w:multiLevelType w:val="hybridMultilevel"/>
    <w:tmpl w:val="27EABD28"/>
    <w:lvl w:ilvl="0" w:tplc="5A6080F2">
      <w:numFmt w:val="bullet"/>
      <w:lvlText w:val="•"/>
      <w:lvlJc w:val="left"/>
      <w:pPr>
        <w:ind w:left="1440" w:hanging="72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0">
    <w:nsid w:val="55084DF7"/>
    <w:multiLevelType w:val="multilevel"/>
    <w:tmpl w:val="6AC2ED8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82F447B"/>
    <w:multiLevelType w:val="multilevel"/>
    <w:tmpl w:val="EA5ED0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5BDF4485"/>
    <w:multiLevelType w:val="hybridMultilevel"/>
    <w:tmpl w:val="AA16B1D4"/>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4">
    <w:nsid w:val="5C2D798E"/>
    <w:multiLevelType w:val="hybridMultilevel"/>
    <w:tmpl w:val="4124958A"/>
    <w:lvl w:ilvl="0" w:tplc="5A6080F2">
      <w:numFmt w:val="bullet"/>
      <w:lvlText w:val="•"/>
      <w:lvlJc w:val="left"/>
      <w:pPr>
        <w:ind w:left="1080" w:hanging="720"/>
      </w:pPr>
      <w:rPr>
        <w:rFonts w:ascii="Times New Roman" w:eastAsia="Times New Roman"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5">
    <w:nsid w:val="62F7693F"/>
    <w:multiLevelType w:val="singleLevel"/>
    <w:tmpl w:val="0409000F"/>
    <w:lvl w:ilvl="0">
      <w:start w:val="1"/>
      <w:numFmt w:val="decimal"/>
      <w:lvlText w:val="%1."/>
      <w:lvlJc w:val="left"/>
      <w:pPr>
        <w:tabs>
          <w:tab w:val="num" w:pos="360"/>
        </w:tabs>
        <w:ind w:left="360" w:hanging="360"/>
      </w:pPr>
      <w:rPr>
        <w:rFonts w:hint="default"/>
      </w:rPr>
    </w:lvl>
  </w:abstractNum>
  <w:abstractNum w:abstractNumId="26">
    <w:nsid w:val="63F5010E"/>
    <w:multiLevelType w:val="hybridMultilevel"/>
    <w:tmpl w:val="632037CE"/>
    <w:lvl w:ilvl="0" w:tplc="22A6A870">
      <w:start w:val="87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6D937E2C"/>
    <w:multiLevelType w:val="hybridMultilevel"/>
    <w:tmpl w:val="892CC9DC"/>
    <w:lvl w:ilvl="0" w:tplc="22DE19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nsid w:val="712E4C2E"/>
    <w:multiLevelType w:val="multilevel"/>
    <w:tmpl w:val="529240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4"/>
  </w:num>
  <w:num w:numId="3">
    <w:abstractNumId w:val="26"/>
  </w:num>
  <w:num w:numId="4">
    <w:abstractNumId w:val="15"/>
  </w:num>
  <w:num w:numId="5">
    <w:abstractNumId w:val="17"/>
  </w:num>
  <w:num w:numId="6">
    <w:abstractNumId w:val="25"/>
  </w:num>
  <w:num w:numId="7">
    <w:abstractNumId w:val="1"/>
  </w:num>
  <w:num w:numId="8">
    <w:abstractNumId w:val="8"/>
  </w:num>
  <w:num w:numId="9">
    <w:abstractNumId w:val="21"/>
  </w:num>
  <w:num w:numId="10">
    <w:abstractNumId w:val="18"/>
  </w:num>
  <w:num w:numId="11">
    <w:abstractNumId w:val="20"/>
  </w:num>
  <w:num w:numId="12">
    <w:abstractNumId w:val="0"/>
  </w:num>
  <w:num w:numId="13">
    <w:abstractNumId w:val="28"/>
  </w:num>
  <w:num w:numId="14">
    <w:abstractNumId w:val="3"/>
  </w:num>
  <w:num w:numId="15">
    <w:abstractNumId w:val="22"/>
  </w:num>
  <w:num w:numId="16">
    <w:abstractNumId w:val="4"/>
  </w:num>
  <w:num w:numId="17">
    <w:abstractNumId w:val="27"/>
  </w:num>
  <w:num w:numId="18">
    <w:abstractNumId w:val="10"/>
  </w:num>
  <w:num w:numId="19">
    <w:abstractNumId w:val="9"/>
  </w:num>
  <w:num w:numId="20">
    <w:abstractNumId w:val="19"/>
  </w:num>
  <w:num w:numId="21">
    <w:abstractNumId w:val="12"/>
  </w:num>
  <w:num w:numId="22">
    <w:abstractNumId w:val="24"/>
  </w:num>
  <w:num w:numId="23">
    <w:abstractNumId w:val="2"/>
  </w:num>
  <w:num w:numId="24">
    <w:abstractNumId w:val="13"/>
  </w:num>
  <w:num w:numId="25">
    <w:abstractNumId w:val="7"/>
  </w:num>
  <w:num w:numId="26">
    <w:abstractNumId w:val="6"/>
  </w:num>
  <w:num w:numId="27">
    <w:abstractNumId w:val="11"/>
  </w:num>
  <w:num w:numId="28">
    <w:abstractNumId w:val="23"/>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evenAndOddHeaders/>
  <w:characterSpacingControl w:val="doNotCompress"/>
  <w:hdrShapeDefaults>
    <o:shapedefaults v:ext="edit" spidmax="23554"/>
  </w:hdrShapeDefaults>
  <w:footnotePr>
    <w:footnote w:id="-1"/>
    <w:footnote w:id="0"/>
  </w:footnotePr>
  <w:endnotePr>
    <w:endnote w:id="-1"/>
    <w:endnote w:id="0"/>
  </w:endnotePr>
  <w:compat/>
  <w:rsids>
    <w:rsidRoot w:val="00E708F2"/>
    <w:rsid w:val="00001951"/>
    <w:rsid w:val="00006B64"/>
    <w:rsid w:val="00007028"/>
    <w:rsid w:val="00021AFE"/>
    <w:rsid w:val="0002721A"/>
    <w:rsid w:val="00036595"/>
    <w:rsid w:val="000400D3"/>
    <w:rsid w:val="00047CFF"/>
    <w:rsid w:val="00052110"/>
    <w:rsid w:val="00055BDF"/>
    <w:rsid w:val="000632EE"/>
    <w:rsid w:val="00071AAD"/>
    <w:rsid w:val="00091699"/>
    <w:rsid w:val="0009332D"/>
    <w:rsid w:val="00097B78"/>
    <w:rsid w:val="000A16FB"/>
    <w:rsid w:val="000D0B64"/>
    <w:rsid w:val="00117960"/>
    <w:rsid w:val="001760F5"/>
    <w:rsid w:val="001C29F5"/>
    <w:rsid w:val="001C3835"/>
    <w:rsid w:val="001D08B6"/>
    <w:rsid w:val="001E1646"/>
    <w:rsid w:val="00205258"/>
    <w:rsid w:val="00222B6A"/>
    <w:rsid w:val="002310AE"/>
    <w:rsid w:val="00287DB2"/>
    <w:rsid w:val="002971FF"/>
    <w:rsid w:val="002D0C31"/>
    <w:rsid w:val="002E1F00"/>
    <w:rsid w:val="00301CC1"/>
    <w:rsid w:val="00304EF8"/>
    <w:rsid w:val="00305EE6"/>
    <w:rsid w:val="003071D6"/>
    <w:rsid w:val="00313058"/>
    <w:rsid w:val="003207B3"/>
    <w:rsid w:val="00325B20"/>
    <w:rsid w:val="0033581F"/>
    <w:rsid w:val="003413B7"/>
    <w:rsid w:val="003468E6"/>
    <w:rsid w:val="00353105"/>
    <w:rsid w:val="003A4205"/>
    <w:rsid w:val="003B704F"/>
    <w:rsid w:val="003D1D07"/>
    <w:rsid w:val="003E535B"/>
    <w:rsid w:val="00400A98"/>
    <w:rsid w:val="00407164"/>
    <w:rsid w:val="0041497A"/>
    <w:rsid w:val="00417288"/>
    <w:rsid w:val="00426F53"/>
    <w:rsid w:val="00427BD9"/>
    <w:rsid w:val="0044240E"/>
    <w:rsid w:val="00473C3A"/>
    <w:rsid w:val="004847AB"/>
    <w:rsid w:val="004916D0"/>
    <w:rsid w:val="00491C2D"/>
    <w:rsid w:val="00492355"/>
    <w:rsid w:val="00492C95"/>
    <w:rsid w:val="00493C23"/>
    <w:rsid w:val="004A1772"/>
    <w:rsid w:val="004A6192"/>
    <w:rsid w:val="004C63C5"/>
    <w:rsid w:val="004D4429"/>
    <w:rsid w:val="004E6DC3"/>
    <w:rsid w:val="0050479B"/>
    <w:rsid w:val="00522AC1"/>
    <w:rsid w:val="00525ED2"/>
    <w:rsid w:val="005273B2"/>
    <w:rsid w:val="0054074E"/>
    <w:rsid w:val="005710F7"/>
    <w:rsid w:val="00592F46"/>
    <w:rsid w:val="005C25A4"/>
    <w:rsid w:val="005D26A0"/>
    <w:rsid w:val="005E3322"/>
    <w:rsid w:val="00623455"/>
    <w:rsid w:val="00647D48"/>
    <w:rsid w:val="0067112E"/>
    <w:rsid w:val="00696F04"/>
    <w:rsid w:val="006A70E2"/>
    <w:rsid w:val="006C0348"/>
    <w:rsid w:val="006D6858"/>
    <w:rsid w:val="006E26A8"/>
    <w:rsid w:val="006F03ED"/>
    <w:rsid w:val="006F12B8"/>
    <w:rsid w:val="007066CC"/>
    <w:rsid w:val="00716344"/>
    <w:rsid w:val="0075331F"/>
    <w:rsid w:val="0076669B"/>
    <w:rsid w:val="00781728"/>
    <w:rsid w:val="00795EE5"/>
    <w:rsid w:val="007A375B"/>
    <w:rsid w:val="007A7E4C"/>
    <w:rsid w:val="007B0937"/>
    <w:rsid w:val="007C4746"/>
    <w:rsid w:val="007C4B15"/>
    <w:rsid w:val="007C606D"/>
    <w:rsid w:val="007E350D"/>
    <w:rsid w:val="007F06D6"/>
    <w:rsid w:val="007F07E5"/>
    <w:rsid w:val="008205D9"/>
    <w:rsid w:val="008460EB"/>
    <w:rsid w:val="00847816"/>
    <w:rsid w:val="0085032F"/>
    <w:rsid w:val="00852B3E"/>
    <w:rsid w:val="00865222"/>
    <w:rsid w:val="0086693F"/>
    <w:rsid w:val="008A6F63"/>
    <w:rsid w:val="008D1470"/>
    <w:rsid w:val="008E3171"/>
    <w:rsid w:val="008F2F9E"/>
    <w:rsid w:val="008F497D"/>
    <w:rsid w:val="008F7328"/>
    <w:rsid w:val="00900602"/>
    <w:rsid w:val="00915515"/>
    <w:rsid w:val="0092656E"/>
    <w:rsid w:val="00945B07"/>
    <w:rsid w:val="00947A27"/>
    <w:rsid w:val="00975B68"/>
    <w:rsid w:val="009A0017"/>
    <w:rsid w:val="009B135D"/>
    <w:rsid w:val="009F2C1F"/>
    <w:rsid w:val="00A06222"/>
    <w:rsid w:val="00A11AD8"/>
    <w:rsid w:val="00A145F7"/>
    <w:rsid w:val="00A551A4"/>
    <w:rsid w:val="00A62102"/>
    <w:rsid w:val="00A706F8"/>
    <w:rsid w:val="00A92F78"/>
    <w:rsid w:val="00A964F2"/>
    <w:rsid w:val="00AA113E"/>
    <w:rsid w:val="00AB1579"/>
    <w:rsid w:val="00AB20E5"/>
    <w:rsid w:val="00AC0DB5"/>
    <w:rsid w:val="00AC1B5E"/>
    <w:rsid w:val="00AC3716"/>
    <w:rsid w:val="00AF3F8F"/>
    <w:rsid w:val="00B017B6"/>
    <w:rsid w:val="00B062B4"/>
    <w:rsid w:val="00B1752C"/>
    <w:rsid w:val="00B1759E"/>
    <w:rsid w:val="00B261D2"/>
    <w:rsid w:val="00B262F3"/>
    <w:rsid w:val="00B54FD5"/>
    <w:rsid w:val="00B55A13"/>
    <w:rsid w:val="00B614B7"/>
    <w:rsid w:val="00B66C11"/>
    <w:rsid w:val="00B70711"/>
    <w:rsid w:val="00BC44D5"/>
    <w:rsid w:val="00BD1B60"/>
    <w:rsid w:val="00BD7DCE"/>
    <w:rsid w:val="00BE08DE"/>
    <w:rsid w:val="00BE5310"/>
    <w:rsid w:val="00BF2D4E"/>
    <w:rsid w:val="00C12BB2"/>
    <w:rsid w:val="00C220FE"/>
    <w:rsid w:val="00C33038"/>
    <w:rsid w:val="00C41F06"/>
    <w:rsid w:val="00C44B2F"/>
    <w:rsid w:val="00C46F7E"/>
    <w:rsid w:val="00C77767"/>
    <w:rsid w:val="00C81192"/>
    <w:rsid w:val="00C956C2"/>
    <w:rsid w:val="00CB3037"/>
    <w:rsid w:val="00CE6038"/>
    <w:rsid w:val="00D11F72"/>
    <w:rsid w:val="00D5211A"/>
    <w:rsid w:val="00D601DB"/>
    <w:rsid w:val="00D65D03"/>
    <w:rsid w:val="00D65E8F"/>
    <w:rsid w:val="00D96FFA"/>
    <w:rsid w:val="00DB19D9"/>
    <w:rsid w:val="00DC1C9B"/>
    <w:rsid w:val="00DC42B7"/>
    <w:rsid w:val="00DD555C"/>
    <w:rsid w:val="00DE6945"/>
    <w:rsid w:val="00E072F0"/>
    <w:rsid w:val="00E1554C"/>
    <w:rsid w:val="00E239E7"/>
    <w:rsid w:val="00E254EB"/>
    <w:rsid w:val="00E40730"/>
    <w:rsid w:val="00E6144D"/>
    <w:rsid w:val="00E64C2B"/>
    <w:rsid w:val="00E708F2"/>
    <w:rsid w:val="00E84A18"/>
    <w:rsid w:val="00E932FC"/>
    <w:rsid w:val="00E96EA2"/>
    <w:rsid w:val="00EE0CAD"/>
    <w:rsid w:val="00EE358E"/>
    <w:rsid w:val="00EE730E"/>
    <w:rsid w:val="00F036F0"/>
    <w:rsid w:val="00F22601"/>
    <w:rsid w:val="00F31AA0"/>
    <w:rsid w:val="00F509AC"/>
    <w:rsid w:val="00F54FD2"/>
    <w:rsid w:val="00F72501"/>
    <w:rsid w:val="00F8553D"/>
    <w:rsid w:val="00F87E87"/>
    <w:rsid w:val="00F90E3D"/>
    <w:rsid w:val="00FA0714"/>
    <w:rsid w:val="00FB5E81"/>
    <w:rsid w:val="00FC305A"/>
    <w:rsid w:val="00FC6BB7"/>
    <w:rsid w:val="00FD57CC"/>
    <w:rsid w:val="00FE07F1"/>
    <w:rsid w:val="00FE21BE"/>
    <w:rsid w:val="00FE7BC6"/>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qFormat/>
    <w:rsid w:val="00305EE6"/>
    <w:pPr>
      <w:keepNext/>
      <w:jc w:val="center"/>
      <w:outlineLvl w:val="0"/>
    </w:pPr>
    <w:rPr>
      <w:b/>
      <w:bCs/>
      <w:lang w:val="en-GB"/>
    </w:rPr>
  </w:style>
  <w:style w:type="paragraph" w:styleId="Heading2">
    <w:name w:val="heading 2"/>
    <w:basedOn w:val="Normal"/>
    <w:next w:val="Normal"/>
    <w:qFormat/>
    <w:rsid w:val="00305EE6"/>
    <w:pPr>
      <w:keepNext/>
      <w:outlineLvl w:val="1"/>
    </w:pPr>
    <w:rPr>
      <w:b/>
      <w:bCs/>
      <w:lang w:val="en-GB"/>
    </w:rPr>
  </w:style>
  <w:style w:type="paragraph" w:styleId="Heading3">
    <w:name w:val="heading 3"/>
    <w:basedOn w:val="Normal"/>
    <w:next w:val="Normal"/>
    <w:qFormat/>
    <w:rsid w:val="00305EE6"/>
    <w:pPr>
      <w:keepNext/>
      <w:spacing w:before="240"/>
      <w:outlineLvl w:val="2"/>
    </w:pPr>
    <w:rPr>
      <w:rFonts w:cs="Arial"/>
      <w:b/>
      <w:bCs/>
      <w:szCs w:val="26"/>
    </w:rPr>
  </w:style>
  <w:style w:type="paragraph" w:styleId="Heading4">
    <w:name w:val="heading 4"/>
    <w:basedOn w:val="Normal"/>
    <w:next w:val="Normal"/>
    <w:qFormat/>
    <w:rsid w:val="0035310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05EE6"/>
    <w:rPr>
      <w:vertAlign w:val="superscript"/>
    </w:rPr>
  </w:style>
  <w:style w:type="character" w:styleId="Hyperlink">
    <w:name w:val="Hyperlink"/>
    <w:rsid w:val="00305EE6"/>
    <w:rPr>
      <w:color w:val="0000FF"/>
      <w:u w:val="single"/>
    </w:rPr>
  </w:style>
  <w:style w:type="paragraph" w:styleId="FootnoteText">
    <w:name w:val="footnote text"/>
    <w:basedOn w:val="Normal"/>
    <w:semiHidden/>
    <w:rsid w:val="00305EE6"/>
    <w:rPr>
      <w:sz w:val="20"/>
      <w:szCs w:val="20"/>
    </w:rPr>
  </w:style>
  <w:style w:type="character" w:styleId="PageNumber">
    <w:name w:val="page number"/>
    <w:basedOn w:val="DefaultParagraphFont"/>
    <w:rsid w:val="00305EE6"/>
  </w:style>
  <w:style w:type="paragraph" w:styleId="Footer">
    <w:name w:val="footer"/>
    <w:basedOn w:val="Normal"/>
    <w:rsid w:val="00305EE6"/>
    <w:pPr>
      <w:tabs>
        <w:tab w:val="center" w:pos="4536"/>
        <w:tab w:val="right" w:pos="9072"/>
      </w:tabs>
    </w:pPr>
  </w:style>
  <w:style w:type="paragraph" w:styleId="BodyText">
    <w:name w:val="Body Text"/>
    <w:basedOn w:val="Normal"/>
    <w:rsid w:val="00305EE6"/>
    <w:pPr>
      <w:jc w:val="center"/>
    </w:pPr>
    <w:rPr>
      <w:b/>
      <w:sz w:val="28"/>
      <w:lang w:val="en-GB"/>
    </w:rPr>
  </w:style>
  <w:style w:type="paragraph" w:styleId="Header">
    <w:name w:val="header"/>
    <w:basedOn w:val="Normal"/>
    <w:link w:val="HeaderChar"/>
    <w:uiPriority w:val="99"/>
    <w:rsid w:val="00305EE6"/>
    <w:pPr>
      <w:tabs>
        <w:tab w:val="center" w:pos="4536"/>
        <w:tab w:val="right" w:pos="9072"/>
      </w:tabs>
    </w:pPr>
  </w:style>
  <w:style w:type="paragraph" w:styleId="BodyTextIndent">
    <w:name w:val="Body Text Indent"/>
    <w:basedOn w:val="Normal"/>
    <w:rsid w:val="00305EE6"/>
    <w:pPr>
      <w:ind w:left="540" w:hanging="540"/>
    </w:pPr>
    <w:rPr>
      <w:lang w:val="en-GB"/>
    </w:rPr>
  </w:style>
  <w:style w:type="character" w:styleId="FollowedHyperlink">
    <w:name w:val="FollowedHyperlink"/>
    <w:rsid w:val="00305EE6"/>
    <w:rPr>
      <w:color w:val="800080"/>
      <w:u w:val="single"/>
    </w:rPr>
  </w:style>
  <w:style w:type="character" w:styleId="Emphasis">
    <w:name w:val="Emphasis"/>
    <w:uiPriority w:val="20"/>
    <w:qFormat/>
    <w:rsid w:val="00353105"/>
    <w:rPr>
      <w:i/>
      <w:iCs/>
    </w:rPr>
  </w:style>
  <w:style w:type="character" w:customStyle="1" w:styleId="HeaderChar">
    <w:name w:val="Header Char"/>
    <w:link w:val="Header"/>
    <w:uiPriority w:val="99"/>
    <w:rsid w:val="006F03ED"/>
    <w:rPr>
      <w:sz w:val="24"/>
      <w:szCs w:val="24"/>
      <w:lang w:val="en-US" w:eastAsia="en-US"/>
    </w:rPr>
  </w:style>
  <w:style w:type="paragraph" w:styleId="BalloonText">
    <w:name w:val="Balloon Text"/>
    <w:basedOn w:val="Normal"/>
    <w:link w:val="BalloonTextChar"/>
    <w:rsid w:val="006F03ED"/>
    <w:rPr>
      <w:rFonts w:ascii="Tahoma" w:hAnsi="Tahoma" w:cs="Tahoma"/>
      <w:sz w:val="16"/>
      <w:szCs w:val="16"/>
    </w:rPr>
  </w:style>
  <w:style w:type="character" w:customStyle="1" w:styleId="BalloonTextChar">
    <w:name w:val="Balloon Text Char"/>
    <w:link w:val="BalloonText"/>
    <w:rsid w:val="006F03ED"/>
    <w:rPr>
      <w:rFonts w:ascii="Tahoma" w:hAnsi="Tahoma" w:cs="Tahoma"/>
      <w:sz w:val="16"/>
      <w:szCs w:val="16"/>
      <w:lang w:val="en-US" w:eastAsia="en-US"/>
    </w:rPr>
  </w:style>
  <w:style w:type="table" w:styleId="TableGrid">
    <w:name w:val="Table Grid"/>
    <w:basedOn w:val="TableNormal"/>
    <w:rsid w:val="00414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
    <w:name w:val="italic"/>
    <w:rsid w:val="001C3835"/>
  </w:style>
  <w:style w:type="paragraph" w:styleId="ListParagraph">
    <w:name w:val="List Paragraph"/>
    <w:basedOn w:val="Normal"/>
    <w:uiPriority w:val="34"/>
    <w:qFormat/>
    <w:rsid w:val="0076669B"/>
    <w:pPr>
      <w:ind w:left="708"/>
    </w:pPr>
  </w:style>
  <w:style w:type="character" w:styleId="Strong">
    <w:name w:val="Strong"/>
    <w:uiPriority w:val="22"/>
    <w:qFormat/>
    <w:rsid w:val="005D26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5EE6"/>
    <w:rPr>
      <w:sz w:val="24"/>
      <w:szCs w:val="24"/>
      <w:lang w:val="en-US" w:eastAsia="en-US"/>
    </w:rPr>
  </w:style>
  <w:style w:type="paragraph" w:styleId="Heading1">
    <w:name w:val="heading 1"/>
    <w:basedOn w:val="Normal"/>
    <w:next w:val="Normal"/>
    <w:qFormat/>
    <w:rsid w:val="00305EE6"/>
    <w:pPr>
      <w:keepNext/>
      <w:jc w:val="center"/>
      <w:outlineLvl w:val="0"/>
    </w:pPr>
    <w:rPr>
      <w:b/>
      <w:bCs/>
      <w:lang w:val="en-GB"/>
    </w:rPr>
  </w:style>
  <w:style w:type="paragraph" w:styleId="Heading2">
    <w:name w:val="heading 2"/>
    <w:basedOn w:val="Normal"/>
    <w:next w:val="Normal"/>
    <w:qFormat/>
    <w:rsid w:val="00305EE6"/>
    <w:pPr>
      <w:keepNext/>
      <w:outlineLvl w:val="1"/>
    </w:pPr>
    <w:rPr>
      <w:b/>
      <w:bCs/>
      <w:lang w:val="en-GB"/>
    </w:rPr>
  </w:style>
  <w:style w:type="paragraph" w:styleId="Heading3">
    <w:name w:val="heading 3"/>
    <w:basedOn w:val="Normal"/>
    <w:next w:val="Normal"/>
    <w:qFormat/>
    <w:rsid w:val="00305EE6"/>
    <w:pPr>
      <w:keepNext/>
      <w:spacing w:before="240"/>
      <w:outlineLvl w:val="2"/>
    </w:pPr>
    <w:rPr>
      <w:rFonts w:cs="Arial"/>
      <w:b/>
      <w:bCs/>
      <w:szCs w:val="26"/>
    </w:rPr>
  </w:style>
  <w:style w:type="paragraph" w:styleId="Heading4">
    <w:name w:val="heading 4"/>
    <w:basedOn w:val="Normal"/>
    <w:next w:val="Normal"/>
    <w:qFormat/>
    <w:rsid w:val="0035310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05EE6"/>
    <w:rPr>
      <w:vertAlign w:val="superscript"/>
    </w:rPr>
  </w:style>
  <w:style w:type="character" w:styleId="Hyperlink">
    <w:name w:val="Hyperlink"/>
    <w:rsid w:val="00305EE6"/>
    <w:rPr>
      <w:color w:val="0000FF"/>
      <w:u w:val="single"/>
    </w:rPr>
  </w:style>
  <w:style w:type="paragraph" w:styleId="FootnoteText">
    <w:name w:val="footnote text"/>
    <w:basedOn w:val="Normal"/>
    <w:semiHidden/>
    <w:rsid w:val="00305EE6"/>
    <w:rPr>
      <w:sz w:val="20"/>
      <w:szCs w:val="20"/>
    </w:rPr>
  </w:style>
  <w:style w:type="character" w:styleId="PageNumber">
    <w:name w:val="page number"/>
    <w:basedOn w:val="DefaultParagraphFont"/>
    <w:rsid w:val="00305EE6"/>
  </w:style>
  <w:style w:type="paragraph" w:styleId="Footer">
    <w:name w:val="footer"/>
    <w:basedOn w:val="Normal"/>
    <w:rsid w:val="00305EE6"/>
    <w:pPr>
      <w:tabs>
        <w:tab w:val="center" w:pos="4536"/>
        <w:tab w:val="right" w:pos="9072"/>
      </w:tabs>
    </w:pPr>
  </w:style>
  <w:style w:type="paragraph" w:styleId="BodyText">
    <w:name w:val="Body Text"/>
    <w:basedOn w:val="Normal"/>
    <w:rsid w:val="00305EE6"/>
    <w:pPr>
      <w:jc w:val="center"/>
    </w:pPr>
    <w:rPr>
      <w:b/>
      <w:sz w:val="28"/>
      <w:lang w:val="en-GB"/>
    </w:rPr>
  </w:style>
  <w:style w:type="paragraph" w:styleId="Header">
    <w:name w:val="header"/>
    <w:basedOn w:val="Normal"/>
    <w:link w:val="HeaderChar"/>
    <w:uiPriority w:val="99"/>
    <w:rsid w:val="00305EE6"/>
    <w:pPr>
      <w:tabs>
        <w:tab w:val="center" w:pos="4536"/>
        <w:tab w:val="right" w:pos="9072"/>
      </w:tabs>
    </w:pPr>
  </w:style>
  <w:style w:type="paragraph" w:styleId="BodyTextIndent">
    <w:name w:val="Body Text Indent"/>
    <w:basedOn w:val="Normal"/>
    <w:rsid w:val="00305EE6"/>
    <w:pPr>
      <w:ind w:left="540" w:hanging="540"/>
    </w:pPr>
    <w:rPr>
      <w:lang w:val="en-GB"/>
    </w:rPr>
  </w:style>
  <w:style w:type="character" w:styleId="FollowedHyperlink">
    <w:name w:val="FollowedHyperlink"/>
    <w:rsid w:val="00305EE6"/>
    <w:rPr>
      <w:color w:val="800080"/>
      <w:u w:val="single"/>
    </w:rPr>
  </w:style>
  <w:style w:type="character" w:styleId="Emphasis">
    <w:name w:val="Emphasis"/>
    <w:uiPriority w:val="20"/>
    <w:qFormat/>
    <w:rsid w:val="00353105"/>
    <w:rPr>
      <w:i/>
      <w:iCs/>
    </w:rPr>
  </w:style>
  <w:style w:type="character" w:customStyle="1" w:styleId="HeaderChar">
    <w:name w:val="Header Char"/>
    <w:link w:val="Header"/>
    <w:uiPriority w:val="99"/>
    <w:rsid w:val="006F03ED"/>
    <w:rPr>
      <w:sz w:val="24"/>
      <w:szCs w:val="24"/>
      <w:lang w:val="en-US" w:eastAsia="en-US"/>
    </w:rPr>
  </w:style>
  <w:style w:type="paragraph" w:styleId="BalloonText">
    <w:name w:val="Balloon Text"/>
    <w:basedOn w:val="Normal"/>
    <w:link w:val="BalloonTextChar"/>
    <w:rsid w:val="006F03ED"/>
    <w:rPr>
      <w:rFonts w:ascii="Tahoma" w:hAnsi="Tahoma" w:cs="Tahoma"/>
      <w:sz w:val="16"/>
      <w:szCs w:val="16"/>
    </w:rPr>
  </w:style>
  <w:style w:type="character" w:customStyle="1" w:styleId="BalloonTextChar">
    <w:name w:val="Balloon Text Char"/>
    <w:link w:val="BalloonText"/>
    <w:rsid w:val="006F03ED"/>
    <w:rPr>
      <w:rFonts w:ascii="Tahoma" w:hAnsi="Tahoma" w:cs="Tahoma"/>
      <w:sz w:val="16"/>
      <w:szCs w:val="16"/>
      <w:lang w:val="en-US" w:eastAsia="en-US"/>
    </w:rPr>
  </w:style>
  <w:style w:type="table" w:styleId="TableGrid">
    <w:name w:val="Table Grid"/>
    <w:basedOn w:val="TableNormal"/>
    <w:rsid w:val="00414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alic">
    <w:name w:val="italic"/>
    <w:rsid w:val="001C3835"/>
  </w:style>
  <w:style w:type="paragraph" w:styleId="ListParagraph">
    <w:name w:val="List Paragraph"/>
    <w:basedOn w:val="Normal"/>
    <w:uiPriority w:val="34"/>
    <w:qFormat/>
    <w:rsid w:val="0076669B"/>
    <w:pPr>
      <w:ind w:left="708"/>
    </w:pPr>
  </w:style>
  <w:style w:type="character" w:styleId="Strong">
    <w:name w:val="Strong"/>
    <w:uiPriority w:val="22"/>
    <w:qFormat/>
    <w:rsid w:val="005D26A0"/>
    <w:rPr>
      <w:b/>
      <w:bCs/>
    </w:rPr>
  </w:style>
</w:styles>
</file>

<file path=word/webSettings.xml><?xml version="1.0" encoding="utf-8"?>
<w:webSettings xmlns:r="http://schemas.openxmlformats.org/officeDocument/2006/relationships" xmlns:w="http://schemas.openxmlformats.org/wordprocessingml/2006/main">
  <w:divs>
    <w:div w:id="117336696">
      <w:bodyDiv w:val="1"/>
      <w:marLeft w:val="0"/>
      <w:marRight w:val="0"/>
      <w:marTop w:val="0"/>
      <w:marBottom w:val="0"/>
      <w:divBdr>
        <w:top w:val="none" w:sz="0" w:space="0" w:color="auto"/>
        <w:left w:val="none" w:sz="0" w:space="0" w:color="auto"/>
        <w:bottom w:val="none" w:sz="0" w:space="0" w:color="auto"/>
        <w:right w:val="none" w:sz="0" w:space="0" w:color="auto"/>
      </w:divBdr>
    </w:div>
    <w:div w:id="170341988">
      <w:bodyDiv w:val="1"/>
      <w:marLeft w:val="0"/>
      <w:marRight w:val="0"/>
      <w:marTop w:val="0"/>
      <w:marBottom w:val="0"/>
      <w:divBdr>
        <w:top w:val="none" w:sz="0" w:space="0" w:color="auto"/>
        <w:left w:val="none" w:sz="0" w:space="0" w:color="auto"/>
        <w:bottom w:val="none" w:sz="0" w:space="0" w:color="auto"/>
        <w:right w:val="none" w:sz="0" w:space="0" w:color="auto"/>
      </w:divBdr>
    </w:div>
    <w:div w:id="280916107">
      <w:bodyDiv w:val="1"/>
      <w:marLeft w:val="0"/>
      <w:marRight w:val="0"/>
      <w:marTop w:val="0"/>
      <w:marBottom w:val="0"/>
      <w:divBdr>
        <w:top w:val="none" w:sz="0" w:space="0" w:color="auto"/>
        <w:left w:val="none" w:sz="0" w:space="0" w:color="auto"/>
        <w:bottom w:val="none" w:sz="0" w:space="0" w:color="auto"/>
        <w:right w:val="none" w:sz="0" w:space="0" w:color="auto"/>
      </w:divBdr>
    </w:div>
    <w:div w:id="296109928">
      <w:bodyDiv w:val="1"/>
      <w:marLeft w:val="0"/>
      <w:marRight w:val="0"/>
      <w:marTop w:val="0"/>
      <w:marBottom w:val="0"/>
      <w:divBdr>
        <w:top w:val="none" w:sz="0" w:space="0" w:color="auto"/>
        <w:left w:val="none" w:sz="0" w:space="0" w:color="auto"/>
        <w:bottom w:val="none" w:sz="0" w:space="0" w:color="auto"/>
        <w:right w:val="none" w:sz="0" w:space="0" w:color="auto"/>
      </w:divBdr>
    </w:div>
    <w:div w:id="348727065">
      <w:bodyDiv w:val="1"/>
      <w:marLeft w:val="0"/>
      <w:marRight w:val="0"/>
      <w:marTop w:val="0"/>
      <w:marBottom w:val="0"/>
      <w:divBdr>
        <w:top w:val="none" w:sz="0" w:space="0" w:color="auto"/>
        <w:left w:val="none" w:sz="0" w:space="0" w:color="auto"/>
        <w:bottom w:val="none" w:sz="0" w:space="0" w:color="auto"/>
        <w:right w:val="none" w:sz="0" w:space="0" w:color="auto"/>
      </w:divBdr>
    </w:div>
    <w:div w:id="353263806">
      <w:bodyDiv w:val="1"/>
      <w:marLeft w:val="0"/>
      <w:marRight w:val="0"/>
      <w:marTop w:val="0"/>
      <w:marBottom w:val="0"/>
      <w:divBdr>
        <w:top w:val="none" w:sz="0" w:space="0" w:color="auto"/>
        <w:left w:val="none" w:sz="0" w:space="0" w:color="auto"/>
        <w:bottom w:val="none" w:sz="0" w:space="0" w:color="auto"/>
        <w:right w:val="none" w:sz="0" w:space="0" w:color="auto"/>
      </w:divBdr>
    </w:div>
    <w:div w:id="456682283">
      <w:bodyDiv w:val="1"/>
      <w:marLeft w:val="0"/>
      <w:marRight w:val="0"/>
      <w:marTop w:val="0"/>
      <w:marBottom w:val="0"/>
      <w:divBdr>
        <w:top w:val="none" w:sz="0" w:space="0" w:color="auto"/>
        <w:left w:val="none" w:sz="0" w:space="0" w:color="auto"/>
        <w:bottom w:val="none" w:sz="0" w:space="0" w:color="auto"/>
        <w:right w:val="none" w:sz="0" w:space="0" w:color="auto"/>
      </w:divBdr>
      <w:divsChild>
        <w:div w:id="1552763870">
          <w:marLeft w:val="0"/>
          <w:marRight w:val="0"/>
          <w:marTop w:val="0"/>
          <w:marBottom w:val="0"/>
          <w:divBdr>
            <w:top w:val="none" w:sz="0" w:space="0" w:color="auto"/>
            <w:left w:val="none" w:sz="0" w:space="0" w:color="auto"/>
            <w:bottom w:val="none" w:sz="0" w:space="0" w:color="auto"/>
            <w:right w:val="none" w:sz="0" w:space="0" w:color="auto"/>
          </w:divBdr>
        </w:div>
      </w:divsChild>
    </w:div>
    <w:div w:id="461071234">
      <w:bodyDiv w:val="1"/>
      <w:marLeft w:val="0"/>
      <w:marRight w:val="0"/>
      <w:marTop w:val="0"/>
      <w:marBottom w:val="0"/>
      <w:divBdr>
        <w:top w:val="none" w:sz="0" w:space="0" w:color="auto"/>
        <w:left w:val="none" w:sz="0" w:space="0" w:color="auto"/>
        <w:bottom w:val="none" w:sz="0" w:space="0" w:color="auto"/>
        <w:right w:val="none" w:sz="0" w:space="0" w:color="auto"/>
      </w:divBdr>
    </w:div>
    <w:div w:id="535846949">
      <w:bodyDiv w:val="1"/>
      <w:marLeft w:val="0"/>
      <w:marRight w:val="0"/>
      <w:marTop w:val="0"/>
      <w:marBottom w:val="0"/>
      <w:divBdr>
        <w:top w:val="none" w:sz="0" w:space="0" w:color="auto"/>
        <w:left w:val="none" w:sz="0" w:space="0" w:color="auto"/>
        <w:bottom w:val="none" w:sz="0" w:space="0" w:color="auto"/>
        <w:right w:val="none" w:sz="0" w:space="0" w:color="auto"/>
      </w:divBdr>
      <w:divsChild>
        <w:div w:id="404306445">
          <w:marLeft w:val="0"/>
          <w:marRight w:val="0"/>
          <w:marTop w:val="0"/>
          <w:marBottom w:val="0"/>
          <w:divBdr>
            <w:top w:val="none" w:sz="0" w:space="0" w:color="auto"/>
            <w:left w:val="none" w:sz="0" w:space="0" w:color="auto"/>
            <w:bottom w:val="none" w:sz="0" w:space="0" w:color="auto"/>
            <w:right w:val="none" w:sz="0" w:space="0" w:color="auto"/>
          </w:divBdr>
        </w:div>
      </w:divsChild>
    </w:div>
    <w:div w:id="599071904">
      <w:bodyDiv w:val="1"/>
      <w:marLeft w:val="0"/>
      <w:marRight w:val="0"/>
      <w:marTop w:val="0"/>
      <w:marBottom w:val="0"/>
      <w:divBdr>
        <w:top w:val="none" w:sz="0" w:space="0" w:color="auto"/>
        <w:left w:val="none" w:sz="0" w:space="0" w:color="auto"/>
        <w:bottom w:val="none" w:sz="0" w:space="0" w:color="auto"/>
        <w:right w:val="none" w:sz="0" w:space="0" w:color="auto"/>
      </w:divBdr>
    </w:div>
    <w:div w:id="626467814">
      <w:bodyDiv w:val="1"/>
      <w:marLeft w:val="0"/>
      <w:marRight w:val="0"/>
      <w:marTop w:val="0"/>
      <w:marBottom w:val="0"/>
      <w:divBdr>
        <w:top w:val="none" w:sz="0" w:space="0" w:color="auto"/>
        <w:left w:val="none" w:sz="0" w:space="0" w:color="auto"/>
        <w:bottom w:val="none" w:sz="0" w:space="0" w:color="auto"/>
        <w:right w:val="none" w:sz="0" w:space="0" w:color="auto"/>
      </w:divBdr>
      <w:divsChild>
        <w:div w:id="1830827883">
          <w:marLeft w:val="0"/>
          <w:marRight w:val="0"/>
          <w:marTop w:val="0"/>
          <w:marBottom w:val="0"/>
          <w:divBdr>
            <w:top w:val="none" w:sz="0" w:space="0" w:color="auto"/>
            <w:left w:val="none" w:sz="0" w:space="0" w:color="auto"/>
            <w:bottom w:val="none" w:sz="0" w:space="0" w:color="auto"/>
            <w:right w:val="none" w:sz="0" w:space="0" w:color="auto"/>
          </w:divBdr>
        </w:div>
      </w:divsChild>
    </w:div>
    <w:div w:id="648022894">
      <w:bodyDiv w:val="1"/>
      <w:marLeft w:val="0"/>
      <w:marRight w:val="0"/>
      <w:marTop w:val="0"/>
      <w:marBottom w:val="0"/>
      <w:divBdr>
        <w:top w:val="none" w:sz="0" w:space="0" w:color="auto"/>
        <w:left w:val="none" w:sz="0" w:space="0" w:color="auto"/>
        <w:bottom w:val="none" w:sz="0" w:space="0" w:color="auto"/>
        <w:right w:val="none" w:sz="0" w:space="0" w:color="auto"/>
      </w:divBdr>
    </w:div>
    <w:div w:id="732192728">
      <w:bodyDiv w:val="1"/>
      <w:marLeft w:val="0"/>
      <w:marRight w:val="0"/>
      <w:marTop w:val="0"/>
      <w:marBottom w:val="0"/>
      <w:divBdr>
        <w:top w:val="none" w:sz="0" w:space="0" w:color="auto"/>
        <w:left w:val="none" w:sz="0" w:space="0" w:color="auto"/>
        <w:bottom w:val="none" w:sz="0" w:space="0" w:color="auto"/>
        <w:right w:val="none" w:sz="0" w:space="0" w:color="auto"/>
      </w:divBdr>
      <w:divsChild>
        <w:div w:id="1648852241">
          <w:marLeft w:val="0"/>
          <w:marRight w:val="0"/>
          <w:marTop w:val="0"/>
          <w:marBottom w:val="0"/>
          <w:divBdr>
            <w:top w:val="none" w:sz="0" w:space="0" w:color="auto"/>
            <w:left w:val="none" w:sz="0" w:space="0" w:color="auto"/>
            <w:bottom w:val="none" w:sz="0" w:space="0" w:color="auto"/>
            <w:right w:val="none" w:sz="0" w:space="0" w:color="auto"/>
          </w:divBdr>
        </w:div>
      </w:divsChild>
    </w:div>
    <w:div w:id="739325638">
      <w:bodyDiv w:val="1"/>
      <w:marLeft w:val="0"/>
      <w:marRight w:val="0"/>
      <w:marTop w:val="0"/>
      <w:marBottom w:val="0"/>
      <w:divBdr>
        <w:top w:val="none" w:sz="0" w:space="0" w:color="auto"/>
        <w:left w:val="none" w:sz="0" w:space="0" w:color="auto"/>
        <w:bottom w:val="none" w:sz="0" w:space="0" w:color="auto"/>
        <w:right w:val="none" w:sz="0" w:space="0" w:color="auto"/>
      </w:divBdr>
    </w:div>
    <w:div w:id="919294830">
      <w:bodyDiv w:val="1"/>
      <w:marLeft w:val="0"/>
      <w:marRight w:val="0"/>
      <w:marTop w:val="0"/>
      <w:marBottom w:val="0"/>
      <w:divBdr>
        <w:top w:val="none" w:sz="0" w:space="0" w:color="auto"/>
        <w:left w:val="none" w:sz="0" w:space="0" w:color="auto"/>
        <w:bottom w:val="none" w:sz="0" w:space="0" w:color="auto"/>
        <w:right w:val="none" w:sz="0" w:space="0" w:color="auto"/>
      </w:divBdr>
    </w:div>
    <w:div w:id="977224533">
      <w:bodyDiv w:val="1"/>
      <w:marLeft w:val="0"/>
      <w:marRight w:val="0"/>
      <w:marTop w:val="0"/>
      <w:marBottom w:val="0"/>
      <w:divBdr>
        <w:top w:val="none" w:sz="0" w:space="0" w:color="auto"/>
        <w:left w:val="none" w:sz="0" w:space="0" w:color="auto"/>
        <w:bottom w:val="none" w:sz="0" w:space="0" w:color="auto"/>
        <w:right w:val="none" w:sz="0" w:space="0" w:color="auto"/>
      </w:divBdr>
    </w:div>
    <w:div w:id="996612827">
      <w:bodyDiv w:val="1"/>
      <w:marLeft w:val="0"/>
      <w:marRight w:val="0"/>
      <w:marTop w:val="0"/>
      <w:marBottom w:val="0"/>
      <w:divBdr>
        <w:top w:val="none" w:sz="0" w:space="0" w:color="auto"/>
        <w:left w:val="none" w:sz="0" w:space="0" w:color="auto"/>
        <w:bottom w:val="none" w:sz="0" w:space="0" w:color="auto"/>
        <w:right w:val="none" w:sz="0" w:space="0" w:color="auto"/>
      </w:divBdr>
    </w:div>
    <w:div w:id="1057700187">
      <w:bodyDiv w:val="1"/>
      <w:marLeft w:val="0"/>
      <w:marRight w:val="0"/>
      <w:marTop w:val="0"/>
      <w:marBottom w:val="0"/>
      <w:divBdr>
        <w:top w:val="none" w:sz="0" w:space="0" w:color="auto"/>
        <w:left w:val="none" w:sz="0" w:space="0" w:color="auto"/>
        <w:bottom w:val="none" w:sz="0" w:space="0" w:color="auto"/>
        <w:right w:val="none" w:sz="0" w:space="0" w:color="auto"/>
      </w:divBdr>
    </w:div>
    <w:div w:id="1103037897">
      <w:bodyDiv w:val="1"/>
      <w:marLeft w:val="0"/>
      <w:marRight w:val="0"/>
      <w:marTop w:val="0"/>
      <w:marBottom w:val="0"/>
      <w:divBdr>
        <w:top w:val="none" w:sz="0" w:space="0" w:color="auto"/>
        <w:left w:val="none" w:sz="0" w:space="0" w:color="auto"/>
        <w:bottom w:val="none" w:sz="0" w:space="0" w:color="auto"/>
        <w:right w:val="none" w:sz="0" w:space="0" w:color="auto"/>
      </w:divBdr>
    </w:div>
    <w:div w:id="1132290365">
      <w:bodyDiv w:val="1"/>
      <w:marLeft w:val="0"/>
      <w:marRight w:val="0"/>
      <w:marTop w:val="0"/>
      <w:marBottom w:val="0"/>
      <w:divBdr>
        <w:top w:val="none" w:sz="0" w:space="0" w:color="auto"/>
        <w:left w:val="none" w:sz="0" w:space="0" w:color="auto"/>
        <w:bottom w:val="none" w:sz="0" w:space="0" w:color="auto"/>
        <w:right w:val="none" w:sz="0" w:space="0" w:color="auto"/>
      </w:divBdr>
    </w:div>
    <w:div w:id="1182822743">
      <w:bodyDiv w:val="1"/>
      <w:marLeft w:val="0"/>
      <w:marRight w:val="0"/>
      <w:marTop w:val="0"/>
      <w:marBottom w:val="0"/>
      <w:divBdr>
        <w:top w:val="none" w:sz="0" w:space="0" w:color="auto"/>
        <w:left w:val="none" w:sz="0" w:space="0" w:color="auto"/>
        <w:bottom w:val="none" w:sz="0" w:space="0" w:color="auto"/>
        <w:right w:val="none" w:sz="0" w:space="0" w:color="auto"/>
      </w:divBdr>
    </w:div>
    <w:div w:id="1213419379">
      <w:bodyDiv w:val="1"/>
      <w:marLeft w:val="0"/>
      <w:marRight w:val="0"/>
      <w:marTop w:val="0"/>
      <w:marBottom w:val="0"/>
      <w:divBdr>
        <w:top w:val="none" w:sz="0" w:space="0" w:color="auto"/>
        <w:left w:val="none" w:sz="0" w:space="0" w:color="auto"/>
        <w:bottom w:val="none" w:sz="0" w:space="0" w:color="auto"/>
        <w:right w:val="none" w:sz="0" w:space="0" w:color="auto"/>
      </w:divBdr>
      <w:divsChild>
        <w:div w:id="1742825461">
          <w:marLeft w:val="0"/>
          <w:marRight w:val="0"/>
          <w:marTop w:val="0"/>
          <w:marBottom w:val="0"/>
          <w:divBdr>
            <w:top w:val="none" w:sz="0" w:space="0" w:color="auto"/>
            <w:left w:val="none" w:sz="0" w:space="0" w:color="auto"/>
            <w:bottom w:val="none" w:sz="0" w:space="0" w:color="auto"/>
            <w:right w:val="none" w:sz="0" w:space="0" w:color="auto"/>
          </w:divBdr>
        </w:div>
      </w:divsChild>
    </w:div>
    <w:div w:id="1213616512">
      <w:bodyDiv w:val="1"/>
      <w:marLeft w:val="0"/>
      <w:marRight w:val="0"/>
      <w:marTop w:val="0"/>
      <w:marBottom w:val="0"/>
      <w:divBdr>
        <w:top w:val="none" w:sz="0" w:space="0" w:color="auto"/>
        <w:left w:val="none" w:sz="0" w:space="0" w:color="auto"/>
        <w:bottom w:val="none" w:sz="0" w:space="0" w:color="auto"/>
        <w:right w:val="none" w:sz="0" w:space="0" w:color="auto"/>
      </w:divBdr>
    </w:div>
    <w:div w:id="1235360555">
      <w:bodyDiv w:val="1"/>
      <w:marLeft w:val="0"/>
      <w:marRight w:val="0"/>
      <w:marTop w:val="0"/>
      <w:marBottom w:val="0"/>
      <w:divBdr>
        <w:top w:val="none" w:sz="0" w:space="0" w:color="auto"/>
        <w:left w:val="none" w:sz="0" w:space="0" w:color="auto"/>
        <w:bottom w:val="none" w:sz="0" w:space="0" w:color="auto"/>
        <w:right w:val="none" w:sz="0" w:space="0" w:color="auto"/>
      </w:divBdr>
    </w:div>
    <w:div w:id="1242982534">
      <w:bodyDiv w:val="1"/>
      <w:marLeft w:val="0"/>
      <w:marRight w:val="0"/>
      <w:marTop w:val="0"/>
      <w:marBottom w:val="0"/>
      <w:divBdr>
        <w:top w:val="none" w:sz="0" w:space="0" w:color="auto"/>
        <w:left w:val="none" w:sz="0" w:space="0" w:color="auto"/>
        <w:bottom w:val="none" w:sz="0" w:space="0" w:color="auto"/>
        <w:right w:val="none" w:sz="0" w:space="0" w:color="auto"/>
      </w:divBdr>
    </w:div>
    <w:div w:id="1306735063">
      <w:bodyDiv w:val="1"/>
      <w:marLeft w:val="0"/>
      <w:marRight w:val="0"/>
      <w:marTop w:val="0"/>
      <w:marBottom w:val="0"/>
      <w:divBdr>
        <w:top w:val="none" w:sz="0" w:space="0" w:color="auto"/>
        <w:left w:val="none" w:sz="0" w:space="0" w:color="auto"/>
        <w:bottom w:val="none" w:sz="0" w:space="0" w:color="auto"/>
        <w:right w:val="none" w:sz="0" w:space="0" w:color="auto"/>
      </w:divBdr>
    </w:div>
    <w:div w:id="1324622749">
      <w:bodyDiv w:val="1"/>
      <w:marLeft w:val="0"/>
      <w:marRight w:val="0"/>
      <w:marTop w:val="0"/>
      <w:marBottom w:val="0"/>
      <w:divBdr>
        <w:top w:val="none" w:sz="0" w:space="0" w:color="auto"/>
        <w:left w:val="none" w:sz="0" w:space="0" w:color="auto"/>
        <w:bottom w:val="none" w:sz="0" w:space="0" w:color="auto"/>
        <w:right w:val="none" w:sz="0" w:space="0" w:color="auto"/>
      </w:divBdr>
    </w:div>
    <w:div w:id="1366563521">
      <w:bodyDiv w:val="1"/>
      <w:marLeft w:val="0"/>
      <w:marRight w:val="0"/>
      <w:marTop w:val="0"/>
      <w:marBottom w:val="0"/>
      <w:divBdr>
        <w:top w:val="none" w:sz="0" w:space="0" w:color="auto"/>
        <w:left w:val="none" w:sz="0" w:space="0" w:color="auto"/>
        <w:bottom w:val="none" w:sz="0" w:space="0" w:color="auto"/>
        <w:right w:val="none" w:sz="0" w:space="0" w:color="auto"/>
      </w:divBdr>
    </w:div>
    <w:div w:id="1536695639">
      <w:bodyDiv w:val="1"/>
      <w:marLeft w:val="0"/>
      <w:marRight w:val="0"/>
      <w:marTop w:val="0"/>
      <w:marBottom w:val="0"/>
      <w:divBdr>
        <w:top w:val="none" w:sz="0" w:space="0" w:color="auto"/>
        <w:left w:val="none" w:sz="0" w:space="0" w:color="auto"/>
        <w:bottom w:val="none" w:sz="0" w:space="0" w:color="auto"/>
        <w:right w:val="none" w:sz="0" w:space="0" w:color="auto"/>
      </w:divBdr>
    </w:div>
    <w:div w:id="1563952753">
      <w:bodyDiv w:val="1"/>
      <w:marLeft w:val="0"/>
      <w:marRight w:val="0"/>
      <w:marTop w:val="0"/>
      <w:marBottom w:val="0"/>
      <w:divBdr>
        <w:top w:val="none" w:sz="0" w:space="0" w:color="auto"/>
        <w:left w:val="none" w:sz="0" w:space="0" w:color="auto"/>
        <w:bottom w:val="none" w:sz="0" w:space="0" w:color="auto"/>
        <w:right w:val="none" w:sz="0" w:space="0" w:color="auto"/>
      </w:divBdr>
    </w:div>
    <w:div w:id="1678539643">
      <w:bodyDiv w:val="1"/>
      <w:marLeft w:val="0"/>
      <w:marRight w:val="0"/>
      <w:marTop w:val="0"/>
      <w:marBottom w:val="0"/>
      <w:divBdr>
        <w:top w:val="none" w:sz="0" w:space="0" w:color="auto"/>
        <w:left w:val="none" w:sz="0" w:space="0" w:color="auto"/>
        <w:bottom w:val="none" w:sz="0" w:space="0" w:color="auto"/>
        <w:right w:val="none" w:sz="0" w:space="0" w:color="auto"/>
      </w:divBdr>
    </w:div>
    <w:div w:id="1696032434">
      <w:bodyDiv w:val="1"/>
      <w:marLeft w:val="0"/>
      <w:marRight w:val="0"/>
      <w:marTop w:val="0"/>
      <w:marBottom w:val="0"/>
      <w:divBdr>
        <w:top w:val="none" w:sz="0" w:space="0" w:color="auto"/>
        <w:left w:val="none" w:sz="0" w:space="0" w:color="auto"/>
        <w:bottom w:val="none" w:sz="0" w:space="0" w:color="auto"/>
        <w:right w:val="none" w:sz="0" w:space="0" w:color="auto"/>
      </w:divBdr>
    </w:div>
    <w:div w:id="1765344826">
      <w:bodyDiv w:val="1"/>
      <w:marLeft w:val="0"/>
      <w:marRight w:val="0"/>
      <w:marTop w:val="0"/>
      <w:marBottom w:val="0"/>
      <w:divBdr>
        <w:top w:val="none" w:sz="0" w:space="0" w:color="auto"/>
        <w:left w:val="none" w:sz="0" w:space="0" w:color="auto"/>
        <w:bottom w:val="none" w:sz="0" w:space="0" w:color="auto"/>
        <w:right w:val="none" w:sz="0" w:space="0" w:color="auto"/>
      </w:divBdr>
    </w:div>
    <w:div w:id="1821074140">
      <w:bodyDiv w:val="1"/>
      <w:marLeft w:val="0"/>
      <w:marRight w:val="0"/>
      <w:marTop w:val="0"/>
      <w:marBottom w:val="0"/>
      <w:divBdr>
        <w:top w:val="none" w:sz="0" w:space="0" w:color="auto"/>
        <w:left w:val="none" w:sz="0" w:space="0" w:color="auto"/>
        <w:bottom w:val="none" w:sz="0" w:space="0" w:color="auto"/>
        <w:right w:val="none" w:sz="0" w:space="0" w:color="auto"/>
      </w:divBdr>
      <w:divsChild>
        <w:div w:id="1539930010">
          <w:marLeft w:val="0"/>
          <w:marRight w:val="0"/>
          <w:marTop w:val="0"/>
          <w:marBottom w:val="0"/>
          <w:divBdr>
            <w:top w:val="none" w:sz="0" w:space="0" w:color="auto"/>
            <w:left w:val="none" w:sz="0" w:space="0" w:color="auto"/>
            <w:bottom w:val="none" w:sz="0" w:space="0" w:color="auto"/>
            <w:right w:val="none" w:sz="0" w:space="0" w:color="auto"/>
          </w:divBdr>
        </w:div>
      </w:divsChild>
    </w:div>
    <w:div w:id="1965695902">
      <w:bodyDiv w:val="1"/>
      <w:marLeft w:val="0"/>
      <w:marRight w:val="0"/>
      <w:marTop w:val="0"/>
      <w:marBottom w:val="0"/>
      <w:divBdr>
        <w:top w:val="none" w:sz="0" w:space="0" w:color="auto"/>
        <w:left w:val="none" w:sz="0" w:space="0" w:color="auto"/>
        <w:bottom w:val="none" w:sz="0" w:space="0" w:color="auto"/>
        <w:right w:val="none" w:sz="0" w:space="0" w:color="auto"/>
      </w:divBdr>
    </w:div>
    <w:div w:id="2062288166">
      <w:bodyDiv w:val="1"/>
      <w:marLeft w:val="0"/>
      <w:marRight w:val="0"/>
      <w:marTop w:val="0"/>
      <w:marBottom w:val="0"/>
      <w:divBdr>
        <w:top w:val="none" w:sz="0" w:space="0" w:color="auto"/>
        <w:left w:val="none" w:sz="0" w:space="0" w:color="auto"/>
        <w:bottom w:val="none" w:sz="0" w:space="0" w:color="auto"/>
        <w:right w:val="none" w:sz="0" w:space="0" w:color="auto"/>
      </w:divBdr>
    </w:div>
    <w:div w:id="2096121976">
      <w:bodyDiv w:val="1"/>
      <w:marLeft w:val="0"/>
      <w:marRight w:val="0"/>
      <w:marTop w:val="0"/>
      <w:marBottom w:val="0"/>
      <w:divBdr>
        <w:top w:val="none" w:sz="0" w:space="0" w:color="auto"/>
        <w:left w:val="none" w:sz="0" w:space="0" w:color="auto"/>
        <w:bottom w:val="none" w:sz="0" w:space="0" w:color="auto"/>
        <w:right w:val="none" w:sz="0" w:space="0" w:color="auto"/>
      </w:divBdr>
    </w:div>
    <w:div w:id="21422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image" Target="media/image17.emf"/><Relationship Id="rId39" Type="http://schemas.openxmlformats.org/officeDocument/2006/relationships/image" Target="media/image26.emf"/><Relationship Id="rId21" Type="http://schemas.openxmlformats.org/officeDocument/2006/relationships/image" Target="media/image12.wmf"/><Relationship Id="rId34" Type="http://schemas.openxmlformats.org/officeDocument/2006/relationships/chart" Target="charts/chart2.xml"/><Relationship Id="rId42" Type="http://schemas.openxmlformats.org/officeDocument/2006/relationships/chart" Target="charts/chart6.xml"/><Relationship Id="rId47" Type="http://schemas.openxmlformats.org/officeDocument/2006/relationships/image" Target="media/image30.emf"/><Relationship Id="rId50" Type="http://schemas.openxmlformats.org/officeDocument/2006/relationships/chart" Target="charts/chart10.xml"/><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3.emf"/><Relationship Id="rId38" Type="http://schemas.openxmlformats.org/officeDocument/2006/relationships/chart" Target="charts/chart4.xml"/><Relationship Id="rId46" Type="http://schemas.openxmlformats.org/officeDocument/2006/relationships/chart" Target="charts/chart8.xml"/><Relationship Id="rId59"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image" Target="media/image20.emf"/><Relationship Id="rId41" Type="http://schemas.openxmlformats.org/officeDocument/2006/relationships/image" Target="media/image27.wmf"/><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5.wmf"/><Relationship Id="rId32" Type="http://schemas.openxmlformats.org/officeDocument/2006/relationships/chart" Target="charts/chart1.xml"/><Relationship Id="rId37" Type="http://schemas.openxmlformats.org/officeDocument/2006/relationships/image" Target="media/image25.emf"/><Relationship Id="rId40" Type="http://schemas.openxmlformats.org/officeDocument/2006/relationships/chart" Target="charts/chart5.xml"/><Relationship Id="rId45" Type="http://schemas.openxmlformats.org/officeDocument/2006/relationships/image" Target="media/image29.emf"/><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chart" Target="charts/chart3.xml"/><Relationship Id="rId49" Type="http://schemas.openxmlformats.org/officeDocument/2006/relationships/image" Target="media/image31.emf"/><Relationship Id="rId57"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image" Target="media/image10.wmf"/><Relationship Id="rId31" Type="http://schemas.openxmlformats.org/officeDocument/2006/relationships/image" Target="media/image22.emf"/><Relationship Id="rId44" Type="http://schemas.openxmlformats.org/officeDocument/2006/relationships/chart" Target="charts/chart7.xml"/><Relationship Id="rId52"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hyperlink" Target="mailto:v.bogdanovski@npf.com.mk" TargetMode="External"/><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emf"/><Relationship Id="rId35" Type="http://schemas.openxmlformats.org/officeDocument/2006/relationships/image" Target="media/image24.emf"/><Relationship Id="rId43" Type="http://schemas.openxmlformats.org/officeDocument/2006/relationships/image" Target="media/image28.emf"/><Relationship Id="rId48" Type="http://schemas.openxmlformats.org/officeDocument/2006/relationships/chart" Target="charts/chart9.xml"/><Relationship Id="rId56" Type="http://schemas.openxmlformats.org/officeDocument/2006/relationships/footer" Target="footer1.xml"/><Relationship Id="rId8" Type="http://schemas.openxmlformats.org/officeDocument/2006/relationships/hyperlink" Target="mailto:p.taleski@npf.com.mk" TargetMode="External"/><Relationship Id="rId51" Type="http://schemas.openxmlformats.org/officeDocument/2006/relationships/image" Target="media/image32.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investexcel.net/calmar-ratio/" TargetMode="External"/><Relationship Id="rId1" Type="http://schemas.openxmlformats.org/officeDocument/2006/relationships/hyperlink" Target="https://www.evestment.com/resources/investment-statistics-guid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vasko.bogdanovski\Desktop\Vasko\&#1048;&#1079;&#1074;&#1077;&#1096;&#1090;&#1072;&#1080;%20-%20&#1040;&#1085;&#1072;&#1083;&#1080;&#1079;&#1080;\&#1052;&#1077;&#1089;&#1077;&#1095;&#1085;&#1080;%20&#1087;&#1088;&#1080;&#1085;&#1086;&#1089;&#1080;\&#1044;&#1072;&#1090;&#1072;%20&#1073;&#1072;&#1079;&#1072;%20&#1060;&#1086;&#1085;&#1076;&#1086;&#1074;&#1080;%203006201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vasko.bogdanovski\Desktop\Vasko\&#1048;&#1079;&#1074;&#1077;&#1096;&#1090;&#1072;&#1080;%20-%20&#1040;&#1085;&#1072;&#1083;&#1080;&#1079;&#1080;\&#1052;&#1077;&#1089;&#1077;&#1095;&#1085;&#1080;%20&#1087;&#1088;&#1080;&#1085;&#1086;&#1089;&#1080;\&#1044;&#1072;&#1090;&#1072;%20&#1073;&#1072;&#1079;&#1072;%20&#1060;&#1086;&#1085;&#1076;&#1086;&#1074;&#1080;%203006201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vasko.bogdanovski\Desktop\Vasko\&#1048;&#1079;&#1074;&#1077;&#1096;&#1090;&#1072;&#1080;%20-%20&#1040;&#1085;&#1072;&#1083;&#1080;&#1079;&#1080;\&#1052;&#1077;&#1089;&#1077;&#1095;&#1085;&#1080;%20&#1087;&#1088;&#1080;&#1085;&#1086;&#1089;&#1080;\&#1044;&#1072;&#1090;&#1072;%20&#1073;&#1072;&#1079;&#1072;%20&#1060;&#1086;&#1085;&#1076;&#1086;&#1074;&#1080;%203006201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vasko.bogdanovski\Desktop\Vasko\&#1048;&#1079;&#1074;&#1077;&#1096;&#1090;&#1072;&#1080;%20-%20&#1040;&#1085;&#1072;&#1083;&#1080;&#1079;&#1080;\&#1052;&#1077;&#1089;&#1077;&#1095;&#1085;&#1080;%20&#1087;&#1088;&#1080;&#1085;&#1086;&#1089;&#1080;\&#1044;&#1072;&#1090;&#1072;%20&#1073;&#1072;&#1079;&#1072;%20&#1060;&#1086;&#1085;&#1076;&#1086;&#1074;&#1080;%20300620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vasko.bogdanovski\Desktop\Vasko\&#1048;&#1079;&#1074;&#1077;&#1096;&#1090;&#1072;&#1080;%20-%20&#1040;&#1085;&#1072;&#1083;&#1080;&#1079;&#1080;\&#1052;&#1077;&#1089;&#1077;&#1095;&#1085;&#1080;%20&#1087;&#1088;&#1080;&#1085;&#1086;&#1089;&#1080;\&#1044;&#1072;&#1090;&#1072;%20&#1073;&#1072;&#1079;&#1072;%20&#1060;&#1086;&#1085;&#1076;&#1086;&#1074;&#1080;%20300620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vasko.bogdanovski\Desktop\Vasko\&#1048;&#1079;&#1074;&#1077;&#1096;&#1090;&#1072;&#1080;%20-%20&#1040;&#1085;&#1072;&#1083;&#1080;&#1079;&#1080;\&#1052;&#1077;&#1089;&#1077;&#1095;&#1085;&#1080;%20&#1087;&#1088;&#1080;&#1085;&#1086;&#1089;&#1080;\&#1044;&#1072;&#1090;&#1072;%20&#1073;&#1072;&#1079;&#1072;%20&#1060;&#1086;&#1085;&#1076;&#1086;&#1074;&#1080;%203006201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vasko.bogdanovski\Desktop\Vasko\&#1048;&#1079;&#1074;&#1077;&#1096;&#1090;&#1072;&#1080;%20-%20&#1040;&#1085;&#1072;&#1083;&#1080;&#1079;&#1080;\&#1052;&#1077;&#1089;&#1077;&#1095;&#1085;&#1080;%20&#1087;&#1088;&#1080;&#1085;&#1086;&#1089;&#1080;\&#1044;&#1072;&#1090;&#1072;%20&#1073;&#1072;&#1079;&#1072;%20&#1060;&#1086;&#1085;&#1076;&#1086;&#1074;&#1080;%203006201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vasko.bogdanovski\Desktop\Vasko\&#1048;&#1079;&#1074;&#1077;&#1096;&#1090;&#1072;&#1080;%20-%20&#1040;&#1085;&#1072;&#1083;&#1080;&#1079;&#1080;\&#1052;&#1077;&#1089;&#1077;&#1095;&#1085;&#1080;%20&#1087;&#1088;&#1080;&#1085;&#1086;&#1089;&#1080;\&#1044;&#1072;&#1090;&#1072;%20&#1073;&#1072;&#1079;&#1072;%20&#1060;&#1086;&#1085;&#1076;&#1086;&#1074;&#1080;%203006201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vasko.bogdanovski\Desktop\Vasko\&#1048;&#1079;&#1074;&#1077;&#1096;&#1090;&#1072;&#1080;%20-%20&#1040;&#1085;&#1072;&#1083;&#1080;&#1079;&#1080;\&#1052;&#1077;&#1089;&#1077;&#1095;&#1085;&#1080;%20&#1087;&#1088;&#1080;&#1085;&#1086;&#1089;&#1080;\&#1044;&#1072;&#1090;&#1072;%20&#1073;&#1072;&#1079;&#1072;%20&#1060;&#1086;&#1085;&#1076;&#1086;&#1074;&#1080;%203006201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vasko.bogdanovski\Desktop\Vasko\&#1048;&#1079;&#1074;&#1077;&#1096;&#1090;&#1072;&#1080;%20-%20&#1040;&#1085;&#1072;&#1083;&#1080;&#1079;&#1080;\&#1052;&#1077;&#1089;&#1077;&#1095;&#1085;&#1080;%20&#1087;&#1088;&#1080;&#1085;&#1086;&#1089;&#1080;\&#1044;&#1072;&#1090;&#1072;%20&#1073;&#1072;&#1079;&#1072;%20&#1060;&#1086;&#1085;&#1076;&#1086;&#1074;&#1080;%203006201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vasko.bogdanovski\Desktop\Vasko\&#1048;&#1079;&#1074;&#1077;&#1096;&#1090;&#1072;&#1080;%20-%20&#1040;&#1085;&#1072;&#1083;&#1080;&#1079;&#1080;\&#1052;&#1077;&#1089;&#1077;&#1095;&#1085;&#1080;%20&#1087;&#1088;&#1080;&#1085;&#1086;&#1089;&#1080;\&#1044;&#1072;&#1090;&#1072;%20&#1073;&#1072;&#1079;&#1072;%20&#1060;&#1086;&#1085;&#1076;&#1086;&#1074;&#1080;%203006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mk-MK"/>
  <c:style val="25"/>
  <c:chart>
    <c:plotArea>
      <c:layout/>
      <c:areaChart>
        <c:grouping val="standard"/>
        <c:ser>
          <c:idx val="0"/>
          <c:order val="0"/>
          <c:cat>
            <c:numRef>
              <c:f>'Calmar Ratio -  lirika Global'!$A$6:$A$42</c:f>
              <c:numCache>
                <c:formatCode>dd/mm/yyyy</c:formatCode>
                <c:ptCount val="37"/>
                <c:pt idx="0">
                  <c:v>40724</c:v>
                </c:pt>
                <c:pt idx="1">
                  <c:v>40755</c:v>
                </c:pt>
                <c:pt idx="2">
                  <c:v>40786</c:v>
                </c:pt>
                <c:pt idx="3">
                  <c:v>40816</c:v>
                </c:pt>
                <c:pt idx="4">
                  <c:v>40847</c:v>
                </c:pt>
                <c:pt idx="5">
                  <c:v>40877</c:v>
                </c:pt>
                <c:pt idx="6">
                  <c:v>40908</c:v>
                </c:pt>
                <c:pt idx="7">
                  <c:v>40939</c:v>
                </c:pt>
                <c:pt idx="8">
                  <c:v>40968</c:v>
                </c:pt>
                <c:pt idx="9">
                  <c:v>40999</c:v>
                </c:pt>
                <c:pt idx="10">
                  <c:v>41029</c:v>
                </c:pt>
                <c:pt idx="11">
                  <c:v>41060</c:v>
                </c:pt>
                <c:pt idx="12">
                  <c:v>41090</c:v>
                </c:pt>
                <c:pt idx="13">
                  <c:v>41121</c:v>
                </c:pt>
                <c:pt idx="14">
                  <c:v>41152</c:v>
                </c:pt>
                <c:pt idx="15">
                  <c:v>41182</c:v>
                </c:pt>
                <c:pt idx="16">
                  <c:v>41213</c:v>
                </c:pt>
                <c:pt idx="17">
                  <c:v>41243</c:v>
                </c:pt>
                <c:pt idx="18">
                  <c:v>41274</c:v>
                </c:pt>
                <c:pt idx="19">
                  <c:v>41305</c:v>
                </c:pt>
                <c:pt idx="20">
                  <c:v>41333</c:v>
                </c:pt>
                <c:pt idx="21">
                  <c:v>41364</c:v>
                </c:pt>
                <c:pt idx="22">
                  <c:v>41394</c:v>
                </c:pt>
                <c:pt idx="23">
                  <c:v>41425</c:v>
                </c:pt>
                <c:pt idx="24">
                  <c:v>41455</c:v>
                </c:pt>
                <c:pt idx="25">
                  <c:v>41486</c:v>
                </c:pt>
                <c:pt idx="26">
                  <c:v>41517</c:v>
                </c:pt>
                <c:pt idx="27">
                  <c:v>41547</c:v>
                </c:pt>
                <c:pt idx="28">
                  <c:v>41578</c:v>
                </c:pt>
                <c:pt idx="29">
                  <c:v>41608</c:v>
                </c:pt>
                <c:pt idx="30">
                  <c:v>41639</c:v>
                </c:pt>
                <c:pt idx="31">
                  <c:v>41670</c:v>
                </c:pt>
                <c:pt idx="32">
                  <c:v>41698</c:v>
                </c:pt>
                <c:pt idx="33">
                  <c:v>41729</c:v>
                </c:pt>
                <c:pt idx="34">
                  <c:v>41759</c:v>
                </c:pt>
                <c:pt idx="35">
                  <c:v>41790</c:v>
                </c:pt>
                <c:pt idx="36">
                  <c:v>41820</c:v>
                </c:pt>
              </c:numCache>
            </c:numRef>
          </c:cat>
          <c:val>
            <c:numRef>
              <c:f>'Calmar Ratio -  lirika Global'!$E$7:$E$42</c:f>
              <c:numCache>
                <c:formatCode>0.00%</c:formatCode>
                <c:ptCount val="36"/>
                <c:pt idx="0">
                  <c:v>0</c:v>
                </c:pt>
                <c:pt idx="1">
                  <c:v>-0.10417521036976286</c:v>
                </c:pt>
                <c:pt idx="2">
                  <c:v>-0.17017153160261667</c:v>
                </c:pt>
                <c:pt idx="3">
                  <c:v>-0.12259154091200955</c:v>
                </c:pt>
                <c:pt idx="4">
                  <c:v>-0.10469951255470132</c:v>
                </c:pt>
                <c:pt idx="5">
                  <c:v>-0.11954608927672287</c:v>
                </c:pt>
                <c:pt idx="6">
                  <c:v>-9.3422689652905039E-2</c:v>
                </c:pt>
                <c:pt idx="7">
                  <c:v>-7.8576112930883901E-2</c:v>
                </c:pt>
                <c:pt idx="8">
                  <c:v>-0.14658658513162137</c:v>
                </c:pt>
                <c:pt idx="9">
                  <c:v>-0.14987428860153221</c:v>
                </c:pt>
                <c:pt idx="10">
                  <c:v>-0.1879683895963242</c:v>
                </c:pt>
                <c:pt idx="11">
                  <c:v>-0.17498888237116203</c:v>
                </c:pt>
                <c:pt idx="12">
                  <c:v>-0.14806086058233991</c:v>
                </c:pt>
                <c:pt idx="13">
                  <c:v>-0.17108170635270831</c:v>
                </c:pt>
                <c:pt idx="14">
                  <c:v>-0.17565853565687448</c:v>
                </c:pt>
                <c:pt idx="15">
                  <c:v>-0.18044127902047297</c:v>
                </c:pt>
                <c:pt idx="16">
                  <c:v>-0.18474297945531476</c:v>
                </c:pt>
                <c:pt idx="17">
                  <c:v>-0.19448323357748995</c:v>
                </c:pt>
                <c:pt idx="18">
                  <c:v>-0.19880050734455584</c:v>
                </c:pt>
                <c:pt idx="19">
                  <c:v>-0.18125974414745608</c:v>
                </c:pt>
                <c:pt idx="20">
                  <c:v>-0.17716741851253978</c:v>
                </c:pt>
                <c:pt idx="21">
                  <c:v>-0.18961743244202106</c:v>
                </c:pt>
                <c:pt idx="22">
                  <c:v>-0.17372744246086436</c:v>
                </c:pt>
                <c:pt idx="23">
                  <c:v>-0.21155160569707099</c:v>
                </c:pt>
                <c:pt idx="24">
                  <c:v>-0.18714473335859674</c:v>
                </c:pt>
                <c:pt idx="25">
                  <c:v>-0.21819103633604534</c:v>
                </c:pt>
                <c:pt idx="26">
                  <c:v>-0.22276440489971688</c:v>
                </c:pt>
                <c:pt idx="27">
                  <c:v>-0.21829831929137969</c:v>
                </c:pt>
                <c:pt idx="28">
                  <c:v>-0.19824505849516727</c:v>
                </c:pt>
                <c:pt idx="29">
                  <c:v>-0.1940541017561529</c:v>
                </c:pt>
                <c:pt idx="30">
                  <c:v>-0.21394124700862333</c:v>
                </c:pt>
                <c:pt idx="31">
                  <c:v>-0.18080984788315171</c:v>
                </c:pt>
                <c:pt idx="32">
                  <c:v>-0.1820159159455349</c:v>
                </c:pt>
                <c:pt idx="33">
                  <c:v>-0.17755502144793944</c:v>
                </c:pt>
                <c:pt idx="34">
                  <c:v>-0.15713665252954173</c:v>
                </c:pt>
                <c:pt idx="35">
                  <c:v>-0.15696361550480994</c:v>
                </c:pt>
              </c:numCache>
            </c:numRef>
          </c:val>
        </c:ser>
        <c:axId val="69113728"/>
        <c:axId val="69115264"/>
      </c:areaChart>
      <c:lineChart>
        <c:grouping val="standard"/>
        <c:ser>
          <c:idx val="1"/>
          <c:order val="1"/>
          <c:marker>
            <c:symbol val="none"/>
          </c:marker>
          <c:val>
            <c:numRef>
              <c:f>'Calmar Ratio -  lirika Global'!$C$7:$C$42</c:f>
              <c:numCache>
                <c:formatCode>0.00%</c:formatCode>
                <c:ptCount val="36"/>
                <c:pt idx="0">
                  <c:v>9.3128234532516823E-3</c:v>
                </c:pt>
                <c:pt idx="1">
                  <c:v>-0.11001043241675211</c:v>
                </c:pt>
                <c:pt idx="2">
                  <c:v>-7.6525831714275017E-2</c:v>
                </c:pt>
                <c:pt idx="3">
                  <c:v>5.5753614919542907E-2</c:v>
                </c:pt>
                <c:pt idx="4">
                  <c:v>2.0186772318431346E-2</c:v>
                </c:pt>
                <c:pt idx="5">
                  <c:v>-1.6721819959777454E-2</c:v>
                </c:pt>
                <c:pt idx="6">
                  <c:v>2.923872887155364E-2</c:v>
                </c:pt>
                <c:pt idx="7">
                  <c:v>1.6243865919763484E-2</c:v>
                </c:pt>
                <c:pt idx="8">
                  <c:v>-7.6676086969460794E-2</c:v>
                </c:pt>
                <c:pt idx="9">
                  <c:v>-3.8598556393970177E-3</c:v>
                </c:pt>
                <c:pt idx="10">
                  <c:v>-4.5844965839235134E-2</c:v>
                </c:pt>
                <c:pt idx="11">
                  <c:v>1.585759368509566E-2</c:v>
                </c:pt>
                <c:pt idx="12">
                  <c:v>3.2118229511880515E-2</c:v>
                </c:pt>
                <c:pt idx="13">
                  <c:v>-2.7393501527537889E-2</c:v>
                </c:pt>
                <c:pt idx="14">
                  <c:v>-5.5367475971644072E-3</c:v>
                </c:pt>
                <c:pt idx="15">
                  <c:v>-5.8187922854922103E-3</c:v>
                </c:pt>
                <c:pt idx="16">
                  <c:v>-5.2626241032753922E-3</c:v>
                </c:pt>
                <c:pt idx="17">
                  <c:v>-1.2019408830109076E-2</c:v>
                </c:pt>
                <c:pt idx="18">
                  <c:v>-5.3740467653144034E-3</c:v>
                </c:pt>
                <c:pt idx="19">
                  <c:v>2.1656915069227855E-2</c:v>
                </c:pt>
                <c:pt idx="20">
                  <c:v>4.985869672529392E-3</c:v>
                </c:pt>
                <c:pt idx="21">
                  <c:v>-1.524631350994532E-2</c:v>
                </c:pt>
                <c:pt idx="22">
                  <c:v>1.9418250107170611E-2</c:v>
                </c:pt>
                <c:pt idx="23">
                  <c:v>-4.6857735573722477E-2</c:v>
                </c:pt>
                <c:pt idx="24">
                  <c:v>3.0486113562505739E-2</c:v>
                </c:pt>
                <c:pt idx="25">
                  <c:v>-3.8942651177043541E-2</c:v>
                </c:pt>
                <c:pt idx="26">
                  <c:v>-5.8669031056367872E-3</c:v>
                </c:pt>
                <c:pt idx="27">
                  <c:v>5.7296696868707215E-3</c:v>
                </c:pt>
                <c:pt idx="28">
                  <c:v>2.5329816660309451E-2</c:v>
                </c:pt>
                <c:pt idx="29">
                  <c:v>5.2136145339101913E-3</c:v>
                </c:pt>
                <c:pt idx="30">
                  <c:v>-2.4985077498278198E-2</c:v>
                </c:pt>
                <c:pt idx="31">
                  <c:v>4.1284693882738491E-2</c:v>
                </c:pt>
                <c:pt idx="32">
                  <c:v>-1.4733536039250761E-3</c:v>
                </c:pt>
                <c:pt idx="33">
                  <c:v>5.4387057571741544E-3</c:v>
                </c:pt>
                <c:pt idx="34">
                  <c:v>2.4523257192533236E-2</c:v>
                </c:pt>
                <c:pt idx="35">
                  <c:v>2.0527558319027942E-4</c:v>
                </c:pt>
              </c:numCache>
            </c:numRef>
          </c:val>
        </c:ser>
        <c:marker val="1"/>
        <c:axId val="69113728"/>
        <c:axId val="69115264"/>
      </c:lineChart>
      <c:dateAx>
        <c:axId val="69113728"/>
        <c:scaling>
          <c:orientation val="minMax"/>
        </c:scaling>
        <c:axPos val="b"/>
        <c:numFmt formatCode="dd/mm/yyyy" sourceLinked="1"/>
        <c:tickLblPos val="nextTo"/>
        <c:crossAx val="69115264"/>
        <c:crosses val="autoZero"/>
        <c:auto val="1"/>
        <c:lblOffset val="100"/>
        <c:baseTimeUnit val="months"/>
      </c:dateAx>
      <c:valAx>
        <c:axId val="69115264"/>
        <c:scaling>
          <c:orientation val="minMax"/>
        </c:scaling>
        <c:axPos val="l"/>
        <c:numFmt formatCode="0.00%" sourceLinked="1"/>
        <c:tickLblPos val="nextTo"/>
        <c:crossAx val="69113728"/>
        <c:crosses val="autoZero"/>
        <c:crossBetween val="between"/>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mk-MK"/>
  <c:style val="25"/>
  <c:chart>
    <c:plotArea>
      <c:layout/>
      <c:areaChart>
        <c:grouping val="standard"/>
        <c:ser>
          <c:idx val="0"/>
          <c:order val="0"/>
          <c:cat>
            <c:numRef>
              <c:f>'Penzija +'!$A$6:$A$42</c:f>
              <c:numCache>
                <c:formatCode>dd/mm/yyyy</c:formatCode>
                <c:ptCount val="37"/>
                <c:pt idx="0">
                  <c:v>40724</c:v>
                </c:pt>
                <c:pt idx="1">
                  <c:v>40755</c:v>
                </c:pt>
                <c:pt idx="2">
                  <c:v>40786</c:v>
                </c:pt>
                <c:pt idx="3">
                  <c:v>40816</c:v>
                </c:pt>
                <c:pt idx="4">
                  <c:v>40847</c:v>
                </c:pt>
                <c:pt idx="5">
                  <c:v>40877</c:v>
                </c:pt>
                <c:pt idx="6">
                  <c:v>40908</c:v>
                </c:pt>
                <c:pt idx="7">
                  <c:v>40939</c:v>
                </c:pt>
                <c:pt idx="8">
                  <c:v>40968</c:v>
                </c:pt>
                <c:pt idx="9">
                  <c:v>40999</c:v>
                </c:pt>
                <c:pt idx="10">
                  <c:v>41029</c:v>
                </c:pt>
                <c:pt idx="11">
                  <c:v>41060</c:v>
                </c:pt>
                <c:pt idx="12">
                  <c:v>41090</c:v>
                </c:pt>
                <c:pt idx="13">
                  <c:v>41121</c:v>
                </c:pt>
                <c:pt idx="14">
                  <c:v>41152</c:v>
                </c:pt>
                <c:pt idx="15">
                  <c:v>41182</c:v>
                </c:pt>
                <c:pt idx="16">
                  <c:v>41213</c:v>
                </c:pt>
                <c:pt idx="17">
                  <c:v>41243</c:v>
                </c:pt>
                <c:pt idx="18">
                  <c:v>41274</c:v>
                </c:pt>
                <c:pt idx="19">
                  <c:v>41305</c:v>
                </c:pt>
                <c:pt idx="20">
                  <c:v>41333</c:v>
                </c:pt>
                <c:pt idx="21">
                  <c:v>41364</c:v>
                </c:pt>
                <c:pt idx="22">
                  <c:v>41394</c:v>
                </c:pt>
                <c:pt idx="23">
                  <c:v>41425</c:v>
                </c:pt>
                <c:pt idx="24">
                  <c:v>41455</c:v>
                </c:pt>
                <c:pt idx="25">
                  <c:v>41486</c:v>
                </c:pt>
                <c:pt idx="26">
                  <c:v>41517</c:v>
                </c:pt>
                <c:pt idx="27">
                  <c:v>41547</c:v>
                </c:pt>
                <c:pt idx="28">
                  <c:v>41578</c:v>
                </c:pt>
                <c:pt idx="29">
                  <c:v>41608</c:v>
                </c:pt>
                <c:pt idx="30">
                  <c:v>41639</c:v>
                </c:pt>
                <c:pt idx="31">
                  <c:v>41670</c:v>
                </c:pt>
                <c:pt idx="32">
                  <c:v>41698</c:v>
                </c:pt>
                <c:pt idx="33">
                  <c:v>41729</c:v>
                </c:pt>
                <c:pt idx="34">
                  <c:v>41759</c:v>
                </c:pt>
                <c:pt idx="35">
                  <c:v>41790</c:v>
                </c:pt>
                <c:pt idx="36">
                  <c:v>41820</c:v>
                </c:pt>
              </c:numCache>
            </c:numRef>
          </c:cat>
          <c:val>
            <c:numRef>
              <c:f>'Penzija +'!$E$7:$E$42</c:f>
              <c:numCache>
                <c:formatCode>0.00%</c:formatCode>
                <c:ptCount val="36"/>
                <c:pt idx="0">
                  <c:v>-5.0989376548256481E-3</c:v>
                </c:pt>
                <c:pt idx="1">
                  <c:v>-1.9251127334242495E-2</c:v>
                </c:pt>
                <c:pt idx="2">
                  <c:v>-2.3404930657639801E-2</c:v>
                </c:pt>
                <c:pt idx="3">
                  <c:v>-1.4637169491134775E-2</c:v>
                </c:pt>
                <c:pt idx="4">
                  <c:v>-1.6178997448314719E-2</c:v>
                </c:pt>
                <c:pt idx="5">
                  <c:v>-8.2765750317853552E-3</c:v>
                </c:pt>
                <c:pt idx="6">
                  <c:v>-2.6749252138078012E-3</c:v>
                </c:pt>
                <c:pt idx="7">
                  <c:v>0</c:v>
                </c:pt>
                <c:pt idx="8">
                  <c:v>0</c:v>
                </c:pt>
                <c:pt idx="9">
                  <c:v>0</c:v>
                </c:pt>
                <c:pt idx="10">
                  <c:v>0</c:v>
                </c:pt>
                <c:pt idx="11">
                  <c:v>-6.1904119117259563E-5</c:v>
                </c:pt>
                <c:pt idx="12">
                  <c:v>0</c:v>
                </c:pt>
                <c:pt idx="13">
                  <c:v>0</c:v>
                </c:pt>
                <c:pt idx="14">
                  <c:v>0</c:v>
                </c:pt>
                <c:pt idx="15">
                  <c:v>-3.993447693466041E-4</c:v>
                </c:pt>
                <c:pt idx="16">
                  <c:v>0</c:v>
                </c:pt>
                <c:pt idx="17">
                  <c:v>0</c:v>
                </c:pt>
                <c:pt idx="18">
                  <c:v>0</c:v>
                </c:pt>
                <c:pt idx="19">
                  <c:v>0</c:v>
                </c:pt>
                <c:pt idx="20">
                  <c:v>0</c:v>
                </c:pt>
                <c:pt idx="21">
                  <c:v>0</c:v>
                </c:pt>
                <c:pt idx="22">
                  <c:v>0</c:v>
                </c:pt>
                <c:pt idx="23">
                  <c:v>-9.8219046003085505E-3</c:v>
                </c:pt>
                <c:pt idx="24">
                  <c:v>-2.109288993500014E-3</c:v>
                </c:pt>
                <c:pt idx="25">
                  <c:v>-3.8124815547783404E-3</c:v>
                </c:pt>
                <c:pt idx="26">
                  <c:v>0</c:v>
                </c:pt>
                <c:pt idx="27">
                  <c:v>0</c:v>
                </c:pt>
                <c:pt idx="28">
                  <c:v>0</c:v>
                </c:pt>
                <c:pt idx="29">
                  <c:v>0</c:v>
                </c:pt>
                <c:pt idx="30">
                  <c:v>-9.9248263174549767E-3</c:v>
                </c:pt>
                <c:pt idx="31">
                  <c:v>0</c:v>
                </c:pt>
                <c:pt idx="32">
                  <c:v>0</c:v>
                </c:pt>
                <c:pt idx="33">
                  <c:v>0</c:v>
                </c:pt>
                <c:pt idx="34">
                  <c:v>0</c:v>
                </c:pt>
                <c:pt idx="35">
                  <c:v>0</c:v>
                </c:pt>
              </c:numCache>
            </c:numRef>
          </c:val>
        </c:ser>
        <c:axId val="85568896"/>
        <c:axId val="90875008"/>
      </c:areaChart>
      <c:lineChart>
        <c:grouping val="standard"/>
        <c:ser>
          <c:idx val="1"/>
          <c:order val="1"/>
          <c:marker>
            <c:symbol val="none"/>
          </c:marker>
          <c:val>
            <c:numRef>
              <c:f>'Penzija +'!$C$7:$C$42</c:f>
              <c:numCache>
                <c:formatCode>0.00%</c:formatCode>
                <c:ptCount val="36"/>
                <c:pt idx="0">
                  <c:v>-5.1119815964850756E-3</c:v>
                </c:pt>
                <c:pt idx="1">
                  <c:v>-1.4326861758024462E-2</c:v>
                </c:pt>
                <c:pt idx="2">
                  <c:v>-4.2443328123620084E-3</c:v>
                </c:pt>
                <c:pt idx="3">
                  <c:v>8.9378263770280263E-3</c:v>
                </c:pt>
                <c:pt idx="4">
                  <c:v>-1.565956663232088E-3</c:v>
                </c:pt>
                <c:pt idx="5">
                  <c:v>8.0002904067493566E-3</c:v>
                </c:pt>
                <c:pt idx="6">
                  <c:v>5.6325068273451358E-3</c:v>
                </c:pt>
                <c:pt idx="7">
                  <c:v>2.0119564995739411E-2</c:v>
                </c:pt>
                <c:pt idx="8">
                  <c:v>9.840711903085404E-4</c:v>
                </c:pt>
                <c:pt idx="9">
                  <c:v>5.9750320628216098E-3</c:v>
                </c:pt>
                <c:pt idx="10">
                  <c:v>6.3377001291473334E-3</c:v>
                </c:pt>
                <c:pt idx="11">
                  <c:v>-6.1906035256277999E-5</c:v>
                </c:pt>
                <c:pt idx="12">
                  <c:v>1.0187676090906575E-2</c:v>
                </c:pt>
                <c:pt idx="13">
                  <c:v>3.3859641149770652E-3</c:v>
                </c:pt>
                <c:pt idx="14">
                  <c:v>4.4183565196049033E-4</c:v>
                </c:pt>
                <c:pt idx="15">
                  <c:v>-3.9942452870398511E-4</c:v>
                </c:pt>
                <c:pt idx="16">
                  <c:v>2.7697892340368163E-3</c:v>
                </c:pt>
                <c:pt idx="17">
                  <c:v>4.3871343037679483E-3</c:v>
                </c:pt>
                <c:pt idx="18">
                  <c:v>1.7912117543288669E-2</c:v>
                </c:pt>
                <c:pt idx="19">
                  <c:v>2.5833307425921315E-3</c:v>
                </c:pt>
                <c:pt idx="20">
                  <c:v>1.1483158398057356E-2</c:v>
                </c:pt>
                <c:pt idx="21">
                  <c:v>8.8310922887454239E-3</c:v>
                </c:pt>
                <c:pt idx="22">
                  <c:v>5.3676154508730724E-3</c:v>
                </c:pt>
                <c:pt idx="23">
                  <c:v>-9.8704576894258107E-3</c:v>
                </c:pt>
                <c:pt idx="24">
                  <c:v>7.7589410127938511E-3</c:v>
                </c:pt>
                <c:pt idx="25">
                  <c:v>-1.7082509104203677E-3</c:v>
                </c:pt>
                <c:pt idx="26">
                  <c:v>9.7696391192242434E-3</c:v>
                </c:pt>
                <c:pt idx="27">
                  <c:v>7.2147040498831434E-3</c:v>
                </c:pt>
                <c:pt idx="28">
                  <c:v>1.0909100075439451E-2</c:v>
                </c:pt>
                <c:pt idx="29">
                  <c:v>2.4246638882175656E-2</c:v>
                </c:pt>
                <c:pt idx="30">
                  <c:v>-9.9744057235949708E-3</c:v>
                </c:pt>
                <c:pt idx="31">
                  <c:v>1.0350548184132865E-2</c:v>
                </c:pt>
                <c:pt idx="32">
                  <c:v>5.1522143763511365E-3</c:v>
                </c:pt>
                <c:pt idx="33">
                  <c:v>3.0083189835965595E-3</c:v>
                </c:pt>
                <c:pt idx="34">
                  <c:v>8.8492806050172804E-3</c:v>
                </c:pt>
                <c:pt idx="35">
                  <c:v>3.6079413761990957E-3</c:v>
                </c:pt>
              </c:numCache>
            </c:numRef>
          </c:val>
        </c:ser>
        <c:marker val="1"/>
        <c:axId val="85568896"/>
        <c:axId val="90875008"/>
      </c:lineChart>
      <c:dateAx>
        <c:axId val="85568896"/>
        <c:scaling>
          <c:orientation val="minMax"/>
        </c:scaling>
        <c:axPos val="b"/>
        <c:numFmt formatCode="dd/mm/yyyy" sourceLinked="1"/>
        <c:tickLblPos val="nextTo"/>
        <c:crossAx val="90875008"/>
        <c:crosses val="autoZero"/>
        <c:auto val="1"/>
        <c:lblOffset val="100"/>
        <c:baseTimeUnit val="months"/>
      </c:dateAx>
      <c:valAx>
        <c:axId val="90875008"/>
        <c:scaling>
          <c:orientation val="minMax"/>
        </c:scaling>
        <c:axPos val="l"/>
        <c:numFmt formatCode="0.00%" sourceLinked="1"/>
        <c:tickLblPos val="nextTo"/>
        <c:crossAx val="85568896"/>
        <c:crosses val="autoZero"/>
        <c:crossBetween val="between"/>
      </c:valAx>
    </c:plotArea>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mk-MK"/>
  <c:style val="25"/>
  <c:chart>
    <c:plotArea>
      <c:layout/>
      <c:areaChart>
        <c:grouping val="standard"/>
        <c:ser>
          <c:idx val="0"/>
          <c:order val="0"/>
          <c:cat>
            <c:numRef>
              <c:f>NPF!$A$6:$A$42</c:f>
              <c:numCache>
                <c:formatCode>dd/mm/yyyy</c:formatCode>
                <c:ptCount val="37"/>
                <c:pt idx="0">
                  <c:v>40724</c:v>
                </c:pt>
                <c:pt idx="1">
                  <c:v>40755</c:v>
                </c:pt>
                <c:pt idx="2">
                  <c:v>40786</c:v>
                </c:pt>
                <c:pt idx="3">
                  <c:v>40816</c:v>
                </c:pt>
                <c:pt idx="4">
                  <c:v>40847</c:v>
                </c:pt>
                <c:pt idx="5">
                  <c:v>40877</c:v>
                </c:pt>
                <c:pt idx="6">
                  <c:v>40908</c:v>
                </c:pt>
                <c:pt idx="7">
                  <c:v>40939</c:v>
                </c:pt>
                <c:pt idx="8">
                  <c:v>40968</c:v>
                </c:pt>
                <c:pt idx="9">
                  <c:v>40999</c:v>
                </c:pt>
                <c:pt idx="10">
                  <c:v>41029</c:v>
                </c:pt>
                <c:pt idx="11">
                  <c:v>41060</c:v>
                </c:pt>
                <c:pt idx="12">
                  <c:v>41090</c:v>
                </c:pt>
                <c:pt idx="13">
                  <c:v>41121</c:v>
                </c:pt>
                <c:pt idx="14">
                  <c:v>41152</c:v>
                </c:pt>
                <c:pt idx="15">
                  <c:v>41182</c:v>
                </c:pt>
                <c:pt idx="16">
                  <c:v>41213</c:v>
                </c:pt>
                <c:pt idx="17">
                  <c:v>41243</c:v>
                </c:pt>
                <c:pt idx="18">
                  <c:v>41274</c:v>
                </c:pt>
                <c:pt idx="19">
                  <c:v>41305</c:v>
                </c:pt>
                <c:pt idx="20">
                  <c:v>41333</c:v>
                </c:pt>
                <c:pt idx="21">
                  <c:v>41364</c:v>
                </c:pt>
                <c:pt idx="22">
                  <c:v>41394</c:v>
                </c:pt>
                <c:pt idx="23">
                  <c:v>41425</c:v>
                </c:pt>
                <c:pt idx="24">
                  <c:v>41455</c:v>
                </c:pt>
                <c:pt idx="25">
                  <c:v>41486</c:v>
                </c:pt>
                <c:pt idx="26">
                  <c:v>41517</c:v>
                </c:pt>
                <c:pt idx="27">
                  <c:v>41547</c:v>
                </c:pt>
                <c:pt idx="28">
                  <c:v>41578</c:v>
                </c:pt>
                <c:pt idx="29">
                  <c:v>41608</c:v>
                </c:pt>
                <c:pt idx="30">
                  <c:v>41639</c:v>
                </c:pt>
                <c:pt idx="31">
                  <c:v>41670</c:v>
                </c:pt>
                <c:pt idx="32">
                  <c:v>41698</c:v>
                </c:pt>
                <c:pt idx="33">
                  <c:v>41729</c:v>
                </c:pt>
                <c:pt idx="34">
                  <c:v>41759</c:v>
                </c:pt>
                <c:pt idx="35">
                  <c:v>41790</c:v>
                </c:pt>
                <c:pt idx="36">
                  <c:v>41820</c:v>
                </c:pt>
              </c:numCache>
            </c:numRef>
          </c:cat>
          <c:val>
            <c:numRef>
              <c:f>NPF!$E$7:$E$42</c:f>
              <c:numCache>
                <c:formatCode>0.00%</c:formatCode>
                <c:ptCount val="36"/>
                <c:pt idx="0">
                  <c:v>0</c:v>
                </c:pt>
                <c:pt idx="1">
                  <c:v>-1.3047675684860321E-2</c:v>
                </c:pt>
                <c:pt idx="2">
                  <c:v>-2.5914627082384182E-2</c:v>
                </c:pt>
                <c:pt idx="3">
                  <c:v>-1.7880119556067189E-2</c:v>
                </c:pt>
                <c:pt idx="4">
                  <c:v>-1.6782644289807806E-2</c:v>
                </c:pt>
                <c:pt idx="5">
                  <c:v>-3.675499501849921E-3</c:v>
                </c:pt>
                <c:pt idx="6">
                  <c:v>0</c:v>
                </c:pt>
                <c:pt idx="7">
                  <c:v>0</c:v>
                </c:pt>
                <c:pt idx="8">
                  <c:v>0</c:v>
                </c:pt>
                <c:pt idx="9">
                  <c:v>-2.116376882010861E-4</c:v>
                </c:pt>
                <c:pt idx="10">
                  <c:v>-1.6908658962260031E-3</c:v>
                </c:pt>
                <c:pt idx="11">
                  <c:v>0</c:v>
                </c:pt>
                <c:pt idx="12">
                  <c:v>0</c:v>
                </c:pt>
                <c:pt idx="13">
                  <c:v>0</c:v>
                </c:pt>
                <c:pt idx="14">
                  <c:v>0</c:v>
                </c:pt>
                <c:pt idx="15">
                  <c:v>0</c:v>
                </c:pt>
                <c:pt idx="16">
                  <c:v>0</c:v>
                </c:pt>
                <c:pt idx="17">
                  <c:v>0</c:v>
                </c:pt>
                <c:pt idx="18">
                  <c:v>0</c:v>
                </c:pt>
                <c:pt idx="19">
                  <c:v>0</c:v>
                </c:pt>
                <c:pt idx="20">
                  <c:v>0</c:v>
                </c:pt>
                <c:pt idx="21">
                  <c:v>0</c:v>
                </c:pt>
                <c:pt idx="22">
                  <c:v>0</c:v>
                </c:pt>
                <c:pt idx="23">
                  <c:v>-6.9476295997479912E-3</c:v>
                </c:pt>
                <c:pt idx="24">
                  <c:v>0</c:v>
                </c:pt>
                <c:pt idx="25">
                  <c:v>-1.5758702960857625E-3</c:v>
                </c:pt>
                <c:pt idx="26">
                  <c:v>0</c:v>
                </c:pt>
                <c:pt idx="27">
                  <c:v>0</c:v>
                </c:pt>
                <c:pt idx="28">
                  <c:v>0</c:v>
                </c:pt>
                <c:pt idx="29">
                  <c:v>0</c:v>
                </c:pt>
                <c:pt idx="30">
                  <c:v>-4.5474547951098914E-3</c:v>
                </c:pt>
                <c:pt idx="31">
                  <c:v>0</c:v>
                </c:pt>
                <c:pt idx="32">
                  <c:v>0</c:v>
                </c:pt>
                <c:pt idx="33">
                  <c:v>0</c:v>
                </c:pt>
                <c:pt idx="34">
                  <c:v>0</c:v>
                </c:pt>
                <c:pt idx="35">
                  <c:v>0</c:v>
                </c:pt>
              </c:numCache>
            </c:numRef>
          </c:val>
        </c:ser>
        <c:axId val="90887296"/>
        <c:axId val="90888832"/>
      </c:areaChart>
      <c:lineChart>
        <c:grouping val="standard"/>
        <c:ser>
          <c:idx val="1"/>
          <c:order val="1"/>
          <c:marker>
            <c:symbol val="none"/>
          </c:marker>
          <c:val>
            <c:numRef>
              <c:f>NPF!$C$7:$C$42</c:f>
              <c:numCache>
                <c:formatCode>0.00%</c:formatCode>
                <c:ptCount val="36"/>
                <c:pt idx="0">
                  <c:v>4.4779169141565779E-3</c:v>
                </c:pt>
                <c:pt idx="1">
                  <c:v>-1.3133544347390703E-2</c:v>
                </c:pt>
                <c:pt idx="2">
                  <c:v>-1.3122782967276231E-2</c:v>
                </c:pt>
                <c:pt idx="3">
                  <c:v>8.2144270812475554E-3</c:v>
                </c:pt>
                <c:pt idx="4">
                  <c:v>1.1168316156076122E-3</c:v>
                </c:pt>
                <c:pt idx="5">
                  <c:v>1.3242797870770252E-2</c:v>
                </c:pt>
                <c:pt idx="6">
                  <c:v>1.297789838268042E-2</c:v>
                </c:pt>
                <c:pt idx="7">
                  <c:v>2.3833711853894043E-2</c:v>
                </c:pt>
                <c:pt idx="8">
                  <c:v>2.6205841167300441E-3</c:v>
                </c:pt>
                <c:pt idx="9">
                  <c:v>-2.1166008661691591E-4</c:v>
                </c:pt>
                <c:pt idx="10">
                  <c:v>-1.48063693680558E-3</c:v>
                </c:pt>
                <c:pt idx="11">
                  <c:v>7.4013648665878914E-3</c:v>
                </c:pt>
                <c:pt idx="12">
                  <c:v>9.5907975170886877E-3</c:v>
                </c:pt>
                <c:pt idx="13">
                  <c:v>2.9693030402545674E-3</c:v>
                </c:pt>
                <c:pt idx="14">
                  <c:v>3.9769875257570043E-3</c:v>
                </c:pt>
                <c:pt idx="15">
                  <c:v>2.9960110798797472E-3</c:v>
                </c:pt>
                <c:pt idx="16">
                  <c:v>5.0720581527160984E-3</c:v>
                </c:pt>
                <c:pt idx="17">
                  <c:v>6.5127844444347934E-3</c:v>
                </c:pt>
                <c:pt idx="18">
                  <c:v>9.0278604443894701E-3</c:v>
                </c:pt>
                <c:pt idx="19">
                  <c:v>6.2195764207394061E-3</c:v>
                </c:pt>
                <c:pt idx="20">
                  <c:v>8.1785567941273594E-3</c:v>
                </c:pt>
                <c:pt idx="21">
                  <c:v>6.6552018367593731E-3</c:v>
                </c:pt>
                <c:pt idx="22">
                  <c:v>8.9611525881438444E-3</c:v>
                </c:pt>
                <c:pt idx="23">
                  <c:v>-6.9718767503539761E-3</c:v>
                </c:pt>
                <c:pt idx="24">
                  <c:v>8.999952378686088E-3</c:v>
                </c:pt>
                <c:pt idx="25">
                  <c:v>-1.5771132857127132E-3</c:v>
                </c:pt>
                <c:pt idx="26">
                  <c:v>1.0344415331753801E-2</c:v>
                </c:pt>
                <c:pt idx="27">
                  <c:v>1.0333191648341501E-2</c:v>
                </c:pt>
                <c:pt idx="28">
                  <c:v>1.0072856888605857E-2</c:v>
                </c:pt>
                <c:pt idx="29">
                  <c:v>1.1718266579129336E-2</c:v>
                </c:pt>
                <c:pt idx="30">
                  <c:v>-4.5578259210949284E-3</c:v>
                </c:pt>
                <c:pt idx="31">
                  <c:v>1.0119448530414858E-2</c:v>
                </c:pt>
                <c:pt idx="32">
                  <c:v>3.3937738510049953E-3</c:v>
                </c:pt>
                <c:pt idx="33">
                  <c:v>4.2741574548974632E-3</c:v>
                </c:pt>
                <c:pt idx="34">
                  <c:v>9.8126010729590527E-3</c:v>
                </c:pt>
                <c:pt idx="35">
                  <c:v>5.0312948810206891E-3</c:v>
                </c:pt>
              </c:numCache>
            </c:numRef>
          </c:val>
        </c:ser>
        <c:marker val="1"/>
        <c:axId val="90887296"/>
        <c:axId val="90888832"/>
      </c:lineChart>
      <c:dateAx>
        <c:axId val="90887296"/>
        <c:scaling>
          <c:orientation val="minMax"/>
        </c:scaling>
        <c:axPos val="b"/>
        <c:numFmt formatCode="dd/mm/yyyy" sourceLinked="1"/>
        <c:tickLblPos val="nextTo"/>
        <c:crossAx val="90888832"/>
        <c:crosses val="autoZero"/>
        <c:auto val="1"/>
        <c:lblOffset val="100"/>
        <c:baseTimeUnit val="months"/>
      </c:dateAx>
      <c:valAx>
        <c:axId val="90888832"/>
        <c:scaling>
          <c:orientation val="minMax"/>
        </c:scaling>
        <c:axPos val="l"/>
        <c:numFmt formatCode="0.00%" sourceLinked="1"/>
        <c:tickLblPos val="nextTo"/>
        <c:crossAx val="9088729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mk-MK"/>
  <c:style val="25"/>
  <c:chart>
    <c:plotArea>
      <c:layout/>
      <c:areaChart>
        <c:grouping val="standard"/>
        <c:ser>
          <c:idx val="0"/>
          <c:order val="0"/>
          <c:cat>
            <c:numRef>
              <c:f>'Ilirika Southeast Europe'!$A$6:$A$42</c:f>
              <c:numCache>
                <c:formatCode>dd/mm/yyyy</c:formatCode>
                <c:ptCount val="37"/>
                <c:pt idx="0">
                  <c:v>40724</c:v>
                </c:pt>
                <c:pt idx="1">
                  <c:v>40755</c:v>
                </c:pt>
                <c:pt idx="2">
                  <c:v>40786</c:v>
                </c:pt>
                <c:pt idx="3">
                  <c:v>40816</c:v>
                </c:pt>
                <c:pt idx="4">
                  <c:v>40847</c:v>
                </c:pt>
                <c:pt idx="5">
                  <c:v>40877</c:v>
                </c:pt>
                <c:pt idx="6">
                  <c:v>40908</c:v>
                </c:pt>
                <c:pt idx="7">
                  <c:v>40939</c:v>
                </c:pt>
                <c:pt idx="8">
                  <c:v>40968</c:v>
                </c:pt>
                <c:pt idx="9">
                  <c:v>40999</c:v>
                </c:pt>
                <c:pt idx="10">
                  <c:v>41029</c:v>
                </c:pt>
                <c:pt idx="11">
                  <c:v>41060</c:v>
                </c:pt>
                <c:pt idx="12">
                  <c:v>41090</c:v>
                </c:pt>
                <c:pt idx="13">
                  <c:v>41121</c:v>
                </c:pt>
                <c:pt idx="14">
                  <c:v>41152</c:v>
                </c:pt>
                <c:pt idx="15">
                  <c:v>41182</c:v>
                </c:pt>
                <c:pt idx="16">
                  <c:v>41213</c:v>
                </c:pt>
                <c:pt idx="17">
                  <c:v>41243</c:v>
                </c:pt>
                <c:pt idx="18">
                  <c:v>41274</c:v>
                </c:pt>
                <c:pt idx="19">
                  <c:v>41305</c:v>
                </c:pt>
                <c:pt idx="20">
                  <c:v>41333</c:v>
                </c:pt>
                <c:pt idx="21">
                  <c:v>41364</c:v>
                </c:pt>
                <c:pt idx="22">
                  <c:v>41394</c:v>
                </c:pt>
                <c:pt idx="23">
                  <c:v>41425</c:v>
                </c:pt>
                <c:pt idx="24">
                  <c:v>41455</c:v>
                </c:pt>
                <c:pt idx="25">
                  <c:v>41486</c:v>
                </c:pt>
                <c:pt idx="26">
                  <c:v>41517</c:v>
                </c:pt>
                <c:pt idx="27">
                  <c:v>41547</c:v>
                </c:pt>
                <c:pt idx="28">
                  <c:v>41578</c:v>
                </c:pt>
                <c:pt idx="29">
                  <c:v>41608</c:v>
                </c:pt>
                <c:pt idx="30">
                  <c:v>41639</c:v>
                </c:pt>
                <c:pt idx="31">
                  <c:v>41670</c:v>
                </c:pt>
                <c:pt idx="32">
                  <c:v>41698</c:v>
                </c:pt>
                <c:pt idx="33">
                  <c:v>41729</c:v>
                </c:pt>
                <c:pt idx="34">
                  <c:v>41759</c:v>
                </c:pt>
                <c:pt idx="35">
                  <c:v>41790</c:v>
                </c:pt>
                <c:pt idx="36">
                  <c:v>41820</c:v>
                </c:pt>
              </c:numCache>
            </c:numRef>
          </c:cat>
          <c:val>
            <c:numRef>
              <c:f>'Ilirika Southeast Europe'!$E$7:$E$42</c:f>
              <c:numCache>
                <c:formatCode>0.00%</c:formatCode>
                <c:ptCount val="36"/>
                <c:pt idx="0">
                  <c:v>0</c:v>
                </c:pt>
                <c:pt idx="1">
                  <c:v>-0.10816702344782415</c:v>
                </c:pt>
                <c:pt idx="2">
                  <c:v>-0.18185865767174469</c:v>
                </c:pt>
                <c:pt idx="3">
                  <c:v>-0.17770729222691994</c:v>
                </c:pt>
                <c:pt idx="4">
                  <c:v>-0.18124601515221775</c:v>
                </c:pt>
                <c:pt idx="5">
                  <c:v>-0.21379799181481177</c:v>
                </c:pt>
                <c:pt idx="6">
                  <c:v>-0.20113730672375166</c:v>
                </c:pt>
                <c:pt idx="7">
                  <c:v>-0.17838226756093534</c:v>
                </c:pt>
                <c:pt idx="8">
                  <c:v>-0.20734565504664274</c:v>
                </c:pt>
                <c:pt idx="9">
                  <c:v>-0.21571428062589396</c:v>
                </c:pt>
                <c:pt idx="10">
                  <c:v>-0.25135084113680911</c:v>
                </c:pt>
                <c:pt idx="11">
                  <c:v>-0.23653344066450341</c:v>
                </c:pt>
                <c:pt idx="12">
                  <c:v>-0.20965018824509971</c:v>
                </c:pt>
                <c:pt idx="13">
                  <c:v>-0.21698943191653908</c:v>
                </c:pt>
                <c:pt idx="14">
                  <c:v>-0.22387631744855679</c:v>
                </c:pt>
                <c:pt idx="15">
                  <c:v>-0.2383749300982009</c:v>
                </c:pt>
                <c:pt idx="16">
                  <c:v>-0.22147027080936491</c:v>
                </c:pt>
                <c:pt idx="17">
                  <c:v>-0.20711413316426397</c:v>
                </c:pt>
                <c:pt idx="18">
                  <c:v>-0.20532607185726917</c:v>
                </c:pt>
                <c:pt idx="19">
                  <c:v>-0.21579798469106201</c:v>
                </c:pt>
                <c:pt idx="20">
                  <c:v>-0.22285049741585963</c:v>
                </c:pt>
                <c:pt idx="21">
                  <c:v>-0.23043372953257521</c:v>
                </c:pt>
                <c:pt idx="22">
                  <c:v>-0.23925827512635794</c:v>
                </c:pt>
                <c:pt idx="23">
                  <c:v>-0.30689115978215581</c:v>
                </c:pt>
                <c:pt idx="24">
                  <c:v>-0.3188359079753959</c:v>
                </c:pt>
                <c:pt idx="25">
                  <c:v>-0.36322577657782273</c:v>
                </c:pt>
                <c:pt idx="26">
                  <c:v>-0.35352500970610962</c:v>
                </c:pt>
                <c:pt idx="27">
                  <c:v>-0.33868445704556888</c:v>
                </c:pt>
                <c:pt idx="28">
                  <c:v>-0.35743951045588435</c:v>
                </c:pt>
                <c:pt idx="29">
                  <c:v>-0.37071818087914388</c:v>
                </c:pt>
                <c:pt idx="30">
                  <c:v>-0.3728428393843678</c:v>
                </c:pt>
                <c:pt idx="31">
                  <c:v>-0.36571018446951231</c:v>
                </c:pt>
                <c:pt idx="32">
                  <c:v>-0.36863982675039425</c:v>
                </c:pt>
                <c:pt idx="33">
                  <c:v>-0.34336832281986768</c:v>
                </c:pt>
                <c:pt idx="34">
                  <c:v>-0.29706394634391331</c:v>
                </c:pt>
                <c:pt idx="35">
                  <c:v>-0.29991344643474138</c:v>
                </c:pt>
              </c:numCache>
            </c:numRef>
          </c:val>
        </c:ser>
        <c:axId val="69191936"/>
        <c:axId val="69220224"/>
      </c:areaChart>
      <c:lineChart>
        <c:grouping val="standard"/>
        <c:ser>
          <c:idx val="1"/>
          <c:order val="1"/>
          <c:marker>
            <c:symbol val="none"/>
          </c:marker>
          <c:val>
            <c:numRef>
              <c:f>'Ilirika Southeast Europe'!$C$7:$C$42</c:f>
              <c:numCache>
                <c:formatCode>0.00%</c:formatCode>
                <c:ptCount val="36"/>
                <c:pt idx="0">
                  <c:v>4.1860792991536578E-4</c:v>
                </c:pt>
                <c:pt idx="1">
                  <c:v>-0.1144764099525916</c:v>
                </c:pt>
                <c:pt idx="2">
                  <c:v>-8.6243757220951775E-2</c:v>
                </c:pt>
                <c:pt idx="3">
                  <c:v>5.0613120431757313E-3</c:v>
                </c:pt>
                <c:pt idx="4">
                  <c:v>-4.3127699244919033E-3</c:v>
                </c:pt>
                <c:pt idx="5">
                  <c:v>-4.0569886649737825E-2</c:v>
                </c:pt>
                <c:pt idx="6">
                  <c:v>1.5975315506180879E-2</c:v>
                </c:pt>
                <c:pt idx="7">
                  <c:v>2.8086158410606681E-2</c:v>
                </c:pt>
                <c:pt idx="8">
                  <c:v>-3.5887997366644636E-2</c:v>
                </c:pt>
                <c:pt idx="9">
                  <c:v>-1.0613851891486501E-2</c:v>
                </c:pt>
                <c:pt idx="10">
                  <c:v>-4.6502930891211991E-2</c:v>
                </c:pt>
                <c:pt idx="11">
                  <c:v>1.9598863486838161E-2</c:v>
                </c:pt>
                <c:pt idx="12">
                  <c:v>3.4606322612140292E-2</c:v>
                </c:pt>
                <c:pt idx="13">
                  <c:v>-9.3294543304973734E-3</c:v>
                </c:pt>
                <c:pt idx="14">
                  <c:v>-8.8343005994027547E-3</c:v>
                </c:pt>
                <c:pt idx="15">
                  <c:v>-1.8857491865596241E-2</c:v>
                </c:pt>
                <c:pt idx="16">
                  <c:v>2.1952777981468292E-2</c:v>
                </c:pt>
                <c:pt idx="17">
                  <c:v>1.8272107140468601E-2</c:v>
                </c:pt>
                <c:pt idx="18">
                  <c:v>2.2525917684831898E-3</c:v>
                </c:pt>
                <c:pt idx="19">
                  <c:v>-1.3265217492425084E-2</c:v>
                </c:pt>
                <c:pt idx="20">
                  <c:v>-9.0339178690482611E-3</c:v>
                </c:pt>
                <c:pt idx="21">
                  <c:v>-9.8056708415796851E-3</c:v>
                </c:pt>
                <c:pt idx="22">
                  <c:v>-1.1533159907605145E-2</c:v>
                </c:pt>
                <c:pt idx="23">
                  <c:v>-9.3106867679014577E-2</c:v>
                </c:pt>
                <c:pt idx="24">
                  <c:v>-1.7383808873588962E-2</c:v>
                </c:pt>
                <c:pt idx="25">
                  <c:v>-6.7388079159037995E-2</c:v>
                </c:pt>
                <c:pt idx="26">
                  <c:v>1.5119357273484938E-2</c:v>
                </c:pt>
                <c:pt idx="27">
                  <c:v>2.2696585350256909E-2</c:v>
                </c:pt>
                <c:pt idx="28">
                  <c:v>-2.8770138552144612E-2</c:v>
                </c:pt>
                <c:pt idx="29">
                  <c:v>-2.0881760011670147E-2</c:v>
                </c:pt>
                <c:pt idx="30">
                  <c:v>-3.3820353629130692E-3</c:v>
                </c:pt>
                <c:pt idx="31">
                  <c:v>1.130880816289638E-2</c:v>
                </c:pt>
                <c:pt idx="32">
                  <c:v>-4.6294750352817993E-3</c:v>
                </c:pt>
                <c:pt idx="33">
                  <c:v>3.9246750921064992E-2</c:v>
                </c:pt>
                <c:pt idx="34">
                  <c:v>6.8142677428702794E-2</c:v>
                </c:pt>
                <c:pt idx="35">
                  <c:v>-4.0619502409866672E-3</c:v>
                </c:pt>
              </c:numCache>
            </c:numRef>
          </c:val>
        </c:ser>
        <c:marker val="1"/>
        <c:axId val="69191936"/>
        <c:axId val="69220224"/>
      </c:lineChart>
      <c:dateAx>
        <c:axId val="69191936"/>
        <c:scaling>
          <c:orientation val="minMax"/>
        </c:scaling>
        <c:axPos val="b"/>
        <c:numFmt formatCode="dd/mm/yyyy" sourceLinked="1"/>
        <c:tickLblPos val="nextTo"/>
        <c:crossAx val="69220224"/>
        <c:crosses val="autoZero"/>
        <c:auto val="1"/>
        <c:lblOffset val="100"/>
        <c:baseTimeUnit val="months"/>
      </c:dateAx>
      <c:valAx>
        <c:axId val="69220224"/>
        <c:scaling>
          <c:orientation val="minMax"/>
        </c:scaling>
        <c:axPos val="l"/>
        <c:numFmt formatCode="0.00%" sourceLinked="1"/>
        <c:tickLblPos val="nextTo"/>
        <c:crossAx val="69191936"/>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mk-MK"/>
  <c:style val="25"/>
  <c:chart>
    <c:plotArea>
      <c:layout/>
      <c:areaChart>
        <c:grouping val="standard"/>
        <c:ser>
          <c:idx val="0"/>
          <c:order val="0"/>
          <c:cat>
            <c:numRef>
              <c:f>'Innovo Status Akcii'!$A$6:$A$42</c:f>
              <c:numCache>
                <c:formatCode>dd/mm/yyyy</c:formatCode>
                <c:ptCount val="37"/>
                <c:pt idx="0">
                  <c:v>40724</c:v>
                </c:pt>
                <c:pt idx="1">
                  <c:v>40755</c:v>
                </c:pt>
                <c:pt idx="2">
                  <c:v>40786</c:v>
                </c:pt>
                <c:pt idx="3">
                  <c:v>40816</c:v>
                </c:pt>
                <c:pt idx="4">
                  <c:v>40847</c:v>
                </c:pt>
                <c:pt idx="5">
                  <c:v>40877</c:v>
                </c:pt>
                <c:pt idx="6">
                  <c:v>40908</c:v>
                </c:pt>
                <c:pt idx="7">
                  <c:v>40939</c:v>
                </c:pt>
                <c:pt idx="8">
                  <c:v>40968</c:v>
                </c:pt>
                <c:pt idx="9">
                  <c:v>40999</c:v>
                </c:pt>
                <c:pt idx="10">
                  <c:v>41029</c:v>
                </c:pt>
                <c:pt idx="11">
                  <c:v>41060</c:v>
                </c:pt>
                <c:pt idx="12">
                  <c:v>41090</c:v>
                </c:pt>
                <c:pt idx="13">
                  <c:v>41121</c:v>
                </c:pt>
                <c:pt idx="14">
                  <c:v>41152</c:v>
                </c:pt>
                <c:pt idx="15">
                  <c:v>41182</c:v>
                </c:pt>
                <c:pt idx="16">
                  <c:v>41213</c:v>
                </c:pt>
                <c:pt idx="17">
                  <c:v>41243</c:v>
                </c:pt>
                <c:pt idx="18">
                  <c:v>41274</c:v>
                </c:pt>
                <c:pt idx="19">
                  <c:v>41305</c:v>
                </c:pt>
                <c:pt idx="20">
                  <c:v>41333</c:v>
                </c:pt>
                <c:pt idx="21">
                  <c:v>41364</c:v>
                </c:pt>
                <c:pt idx="22">
                  <c:v>41394</c:v>
                </c:pt>
                <c:pt idx="23">
                  <c:v>41425</c:v>
                </c:pt>
                <c:pt idx="24">
                  <c:v>41455</c:v>
                </c:pt>
                <c:pt idx="25">
                  <c:v>41486</c:v>
                </c:pt>
                <c:pt idx="26">
                  <c:v>41517</c:v>
                </c:pt>
                <c:pt idx="27">
                  <c:v>41547</c:v>
                </c:pt>
                <c:pt idx="28">
                  <c:v>41578</c:v>
                </c:pt>
                <c:pt idx="29">
                  <c:v>41608</c:v>
                </c:pt>
                <c:pt idx="30">
                  <c:v>41639</c:v>
                </c:pt>
                <c:pt idx="31">
                  <c:v>41670</c:v>
                </c:pt>
                <c:pt idx="32">
                  <c:v>41698</c:v>
                </c:pt>
                <c:pt idx="33">
                  <c:v>41729</c:v>
                </c:pt>
                <c:pt idx="34">
                  <c:v>41759</c:v>
                </c:pt>
                <c:pt idx="35">
                  <c:v>41790</c:v>
                </c:pt>
                <c:pt idx="36">
                  <c:v>41820</c:v>
                </c:pt>
              </c:numCache>
            </c:numRef>
          </c:cat>
          <c:val>
            <c:numRef>
              <c:f>'Innovo Status Akcii'!$E$7:$E$42</c:f>
              <c:numCache>
                <c:formatCode>0.00%</c:formatCode>
                <c:ptCount val="36"/>
                <c:pt idx="0">
                  <c:v>-9.2996555683130724E-4</c:v>
                </c:pt>
                <c:pt idx="1">
                  <c:v>-4.2069460390356063E-2</c:v>
                </c:pt>
                <c:pt idx="2">
                  <c:v>-7.5734787600459402E-2</c:v>
                </c:pt>
                <c:pt idx="3">
                  <c:v>-7.0519517795637324E-2</c:v>
                </c:pt>
                <c:pt idx="4">
                  <c:v>-0.10532433983926515</c:v>
                </c:pt>
                <c:pt idx="5">
                  <c:v>-0.11549942594718726</c:v>
                </c:pt>
                <c:pt idx="6">
                  <c:v>-0.14371125143513303</c:v>
                </c:pt>
                <c:pt idx="7">
                  <c:v>-0.10967278989667101</c:v>
                </c:pt>
                <c:pt idx="8">
                  <c:v>-0.12935419058553391</c:v>
                </c:pt>
                <c:pt idx="9">
                  <c:v>-0.12959529276693549</c:v>
                </c:pt>
                <c:pt idx="10">
                  <c:v>-0.14359931113662563</c:v>
                </c:pt>
                <c:pt idx="11">
                  <c:v>-0.17960964408725621</c:v>
                </c:pt>
                <c:pt idx="12">
                  <c:v>-0.2163059701492539</c:v>
                </c:pt>
                <c:pt idx="13">
                  <c:v>-0.20050516647531591</c:v>
                </c:pt>
                <c:pt idx="14">
                  <c:v>-0.21248564867967856</c:v>
                </c:pt>
                <c:pt idx="15">
                  <c:v>-0.22141216991963264</c:v>
                </c:pt>
                <c:pt idx="16">
                  <c:v>-0.22697761194029864</c:v>
                </c:pt>
                <c:pt idx="17">
                  <c:v>-0.20315442020665853</c:v>
                </c:pt>
                <c:pt idx="18">
                  <c:v>-0.19727324913892091</c:v>
                </c:pt>
                <c:pt idx="19">
                  <c:v>-0.21488805970149352</c:v>
                </c:pt>
                <c:pt idx="20">
                  <c:v>-0.20585246842709601</c:v>
                </c:pt>
                <c:pt idx="21">
                  <c:v>-0.21389494833524741</c:v>
                </c:pt>
                <c:pt idx="22">
                  <c:v>-0.22289896670493689</c:v>
                </c:pt>
                <c:pt idx="23">
                  <c:v>-0.19602181400688867</c:v>
                </c:pt>
                <c:pt idx="24">
                  <c:v>-0.21704362801377738</c:v>
                </c:pt>
                <c:pt idx="25">
                  <c:v>-0.22100459242250295</c:v>
                </c:pt>
                <c:pt idx="26">
                  <c:v>-0.21950631458094252</c:v>
                </c:pt>
                <c:pt idx="27">
                  <c:v>-0.23448909299655574</c:v>
                </c:pt>
                <c:pt idx="28">
                  <c:v>-0.23568312284730264</c:v>
                </c:pt>
                <c:pt idx="29">
                  <c:v>-0.18838404133180317</c:v>
                </c:pt>
                <c:pt idx="30">
                  <c:v>-0.20918197474167632</c:v>
                </c:pt>
                <c:pt idx="31">
                  <c:v>-0.20299942594718787</c:v>
                </c:pt>
                <c:pt idx="32">
                  <c:v>-0.1669489092996557</c:v>
                </c:pt>
                <c:pt idx="33">
                  <c:v>-0.19804822043628081</c:v>
                </c:pt>
                <c:pt idx="34">
                  <c:v>-0.19202066590126302</c:v>
                </c:pt>
                <c:pt idx="35">
                  <c:v>-0.17422502870264073</c:v>
                </c:pt>
              </c:numCache>
            </c:numRef>
          </c:val>
        </c:ser>
        <c:axId val="77164928"/>
        <c:axId val="77199616"/>
      </c:areaChart>
      <c:lineChart>
        <c:grouping val="standard"/>
        <c:ser>
          <c:idx val="1"/>
          <c:order val="1"/>
          <c:marker>
            <c:symbol val="none"/>
          </c:marker>
          <c:val>
            <c:numRef>
              <c:f>'Innovo Status Akcii'!$C$7:$C$42</c:f>
              <c:numCache>
                <c:formatCode>0.00%</c:formatCode>
                <c:ptCount val="36"/>
                <c:pt idx="0">
                  <c:v>-9.3039824307612545E-4</c:v>
                </c:pt>
                <c:pt idx="1">
                  <c:v>-4.2049611023537034E-2</c:v>
                </c:pt>
                <c:pt idx="2">
                  <c:v>-3.5776212851609285E-2</c:v>
                </c:pt>
                <c:pt idx="3">
                  <c:v>5.6267519107531779E-3</c:v>
                </c:pt>
                <c:pt idx="4">
                  <c:v>-3.8164547061117084E-2</c:v>
                </c:pt>
                <c:pt idx="5">
                  <c:v>-1.1438099100000957E-2</c:v>
                </c:pt>
                <c:pt idx="6">
                  <c:v>-3.2415520262651196E-2</c:v>
                </c:pt>
                <c:pt idx="7">
                  <c:v>3.8981404609417153E-2</c:v>
                </c:pt>
                <c:pt idx="8">
                  <c:v>-2.2353801015443452E-2</c:v>
                </c:pt>
                <c:pt idx="9">
                  <c:v>-2.7696173159430412E-4</c:v>
                </c:pt>
                <c:pt idx="10">
                  <c:v>-1.6219923127014566E-2</c:v>
                </c:pt>
                <c:pt idx="11">
                  <c:v>-4.2958090304836792E-2</c:v>
                </c:pt>
                <c:pt idx="12">
                  <c:v>-4.5761594652931517E-2</c:v>
                </c:pt>
                <c:pt idx="13">
                  <c:v>1.9961393991655241E-2</c:v>
                </c:pt>
                <c:pt idx="14">
                  <c:v>-1.5098475687595639E-2</c:v>
                </c:pt>
                <c:pt idx="15">
                  <c:v>-1.1399789894197723E-2</c:v>
                </c:pt>
                <c:pt idx="16">
                  <c:v>-7.1737938092803939E-3</c:v>
                </c:pt>
                <c:pt idx="17">
                  <c:v>3.0352897461149594E-2</c:v>
                </c:pt>
                <c:pt idx="18">
                  <c:v>7.3534624927606169E-3</c:v>
                </c:pt>
                <c:pt idx="19">
                  <c:v>-2.2188063960486625E-2</c:v>
                </c:pt>
                <c:pt idx="20">
                  <c:v>1.1442945290789389E-2</c:v>
                </c:pt>
                <c:pt idx="21">
                  <c:v>-1.0178814997422255E-2</c:v>
                </c:pt>
                <c:pt idx="22">
                  <c:v>-1.1520065120610073E-2</c:v>
                </c:pt>
                <c:pt idx="23">
                  <c:v>3.4001765066268612E-2</c:v>
                </c:pt>
                <c:pt idx="24">
                  <c:v>-2.6495161570057612E-2</c:v>
                </c:pt>
                <c:pt idx="25">
                  <c:v>-5.0718248173062886E-3</c:v>
                </c:pt>
                <c:pt idx="26">
                  <c:v>1.9214989181776082E-3</c:v>
                </c:pt>
                <c:pt idx="27">
                  <c:v>-1.938318628781938E-2</c:v>
                </c:pt>
                <c:pt idx="28">
                  <c:v>-1.5609993563616067E-3</c:v>
                </c:pt>
                <c:pt idx="29">
                  <c:v>6.0044807128758849E-2</c:v>
                </c:pt>
                <c:pt idx="30">
                  <c:v>-2.5959386239769285E-2</c:v>
                </c:pt>
                <c:pt idx="31">
                  <c:v>7.7875143198235337E-3</c:v>
                </c:pt>
                <c:pt idx="32">
                  <c:v>4.4239574602818112E-2</c:v>
                </c:pt>
                <c:pt idx="33">
                  <c:v>-3.8046492833140162E-2</c:v>
                </c:pt>
                <c:pt idx="34">
                  <c:v>7.4880007568835652E-3</c:v>
                </c:pt>
                <c:pt idx="35">
                  <c:v>2.1785822977757212E-2</c:v>
                </c:pt>
              </c:numCache>
            </c:numRef>
          </c:val>
        </c:ser>
        <c:marker val="1"/>
        <c:axId val="77164928"/>
        <c:axId val="77199616"/>
      </c:lineChart>
      <c:dateAx>
        <c:axId val="77164928"/>
        <c:scaling>
          <c:orientation val="minMax"/>
        </c:scaling>
        <c:axPos val="b"/>
        <c:numFmt formatCode="dd/mm/yyyy" sourceLinked="1"/>
        <c:tickLblPos val="nextTo"/>
        <c:crossAx val="77199616"/>
        <c:crosses val="autoZero"/>
        <c:auto val="1"/>
        <c:lblOffset val="100"/>
        <c:baseTimeUnit val="months"/>
      </c:dateAx>
      <c:valAx>
        <c:axId val="77199616"/>
        <c:scaling>
          <c:orientation val="minMax"/>
        </c:scaling>
        <c:axPos val="l"/>
        <c:numFmt formatCode="0.00%" sourceLinked="1"/>
        <c:tickLblPos val="nextTo"/>
        <c:crossAx val="77164928"/>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mk-MK"/>
  <c:style val="25"/>
  <c:chart>
    <c:plotArea>
      <c:layout/>
      <c:areaChart>
        <c:grouping val="standard"/>
        <c:ser>
          <c:idx val="0"/>
          <c:order val="0"/>
          <c:cat>
            <c:numRef>
              <c:f>'KB Voluntary Pension Fund'!$A$6:$A$42</c:f>
              <c:numCache>
                <c:formatCode>dd/mm/yyyy</c:formatCode>
                <c:ptCount val="37"/>
                <c:pt idx="0">
                  <c:v>40724</c:v>
                </c:pt>
                <c:pt idx="1">
                  <c:v>40755</c:v>
                </c:pt>
                <c:pt idx="2">
                  <c:v>40786</c:v>
                </c:pt>
                <c:pt idx="3">
                  <c:v>40816</c:v>
                </c:pt>
                <c:pt idx="4">
                  <c:v>40847</c:v>
                </c:pt>
                <c:pt idx="5">
                  <c:v>40877</c:v>
                </c:pt>
                <c:pt idx="6">
                  <c:v>40908</c:v>
                </c:pt>
                <c:pt idx="7">
                  <c:v>40939</c:v>
                </c:pt>
                <c:pt idx="8">
                  <c:v>40968</c:v>
                </c:pt>
                <c:pt idx="9">
                  <c:v>40999</c:v>
                </c:pt>
                <c:pt idx="10">
                  <c:v>41029</c:v>
                </c:pt>
                <c:pt idx="11">
                  <c:v>41060</c:v>
                </c:pt>
                <c:pt idx="12">
                  <c:v>41090</c:v>
                </c:pt>
                <c:pt idx="13">
                  <c:v>41121</c:v>
                </c:pt>
                <c:pt idx="14">
                  <c:v>41152</c:v>
                </c:pt>
                <c:pt idx="15">
                  <c:v>41182</c:v>
                </c:pt>
                <c:pt idx="16">
                  <c:v>41213</c:v>
                </c:pt>
                <c:pt idx="17">
                  <c:v>41243</c:v>
                </c:pt>
                <c:pt idx="18">
                  <c:v>41274</c:v>
                </c:pt>
                <c:pt idx="19">
                  <c:v>41305</c:v>
                </c:pt>
                <c:pt idx="20">
                  <c:v>41333</c:v>
                </c:pt>
                <c:pt idx="21">
                  <c:v>41364</c:v>
                </c:pt>
                <c:pt idx="22">
                  <c:v>41394</c:v>
                </c:pt>
                <c:pt idx="23">
                  <c:v>41425</c:v>
                </c:pt>
                <c:pt idx="24">
                  <c:v>41455</c:v>
                </c:pt>
                <c:pt idx="25">
                  <c:v>41486</c:v>
                </c:pt>
                <c:pt idx="26">
                  <c:v>41517</c:v>
                </c:pt>
                <c:pt idx="27">
                  <c:v>41547</c:v>
                </c:pt>
                <c:pt idx="28">
                  <c:v>41578</c:v>
                </c:pt>
                <c:pt idx="29">
                  <c:v>41608</c:v>
                </c:pt>
                <c:pt idx="30">
                  <c:v>41639</c:v>
                </c:pt>
                <c:pt idx="31">
                  <c:v>41670</c:v>
                </c:pt>
                <c:pt idx="32">
                  <c:v>41698</c:v>
                </c:pt>
                <c:pt idx="33">
                  <c:v>41729</c:v>
                </c:pt>
                <c:pt idx="34">
                  <c:v>41759</c:v>
                </c:pt>
                <c:pt idx="35">
                  <c:v>41790</c:v>
                </c:pt>
                <c:pt idx="36">
                  <c:v>41820</c:v>
                </c:pt>
              </c:numCache>
            </c:numRef>
          </c:cat>
          <c:val>
            <c:numRef>
              <c:f>'KB Voluntary Pension Fund'!$E$7:$E$42</c:f>
              <c:numCache>
                <c:formatCode>0.00%</c:formatCode>
                <c:ptCount val="36"/>
                <c:pt idx="0">
                  <c:v>0</c:v>
                </c:pt>
                <c:pt idx="1">
                  <c:v>-5.4400217919260418E-3</c:v>
                </c:pt>
                <c:pt idx="2">
                  <c:v>-9.6630918710102747E-3</c:v>
                </c:pt>
                <c:pt idx="3">
                  <c:v>-6.5075077784086414E-3</c:v>
                </c:pt>
                <c:pt idx="4">
                  <c:v>-7.6696259111660404E-3</c:v>
                </c:pt>
                <c:pt idx="5">
                  <c:v>-3.8012052774667611E-3</c:v>
                </c:pt>
                <c:pt idx="6">
                  <c:v>-5.6673158255018475E-3</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-7.7376171997785145E-3</c:v>
                </c:pt>
                <c:pt idx="24">
                  <c:v>-1.1495888411104092E-4</c:v>
                </c:pt>
                <c:pt idx="25">
                  <c:v>-2.1327686681572012E-3</c:v>
                </c:pt>
                <c:pt idx="26">
                  <c:v>0</c:v>
                </c:pt>
                <c:pt idx="27">
                  <c:v>0</c:v>
                </c:pt>
                <c:pt idx="28">
                  <c:v>0</c:v>
                </c:pt>
                <c:pt idx="29">
                  <c:v>0</c:v>
                </c:pt>
                <c:pt idx="30">
                  <c:v>-6.5185966027342932E-4</c:v>
                </c:pt>
                <c:pt idx="31">
                  <c:v>0</c:v>
                </c:pt>
                <c:pt idx="32">
                  <c:v>0</c:v>
                </c:pt>
                <c:pt idx="33">
                  <c:v>0</c:v>
                </c:pt>
                <c:pt idx="34">
                  <c:v>0</c:v>
                </c:pt>
                <c:pt idx="35">
                  <c:v>0</c:v>
                </c:pt>
              </c:numCache>
            </c:numRef>
          </c:val>
        </c:ser>
        <c:axId val="87461888"/>
        <c:axId val="87463424"/>
      </c:areaChart>
      <c:lineChart>
        <c:grouping val="standard"/>
        <c:ser>
          <c:idx val="1"/>
          <c:order val="1"/>
          <c:marker>
            <c:symbol val="none"/>
          </c:marker>
          <c:val>
            <c:numRef>
              <c:f>'KB Voluntary Pension Fund'!$C$7:$C$42</c:f>
              <c:numCache>
                <c:formatCode>0.00%</c:formatCode>
                <c:ptCount val="36"/>
                <c:pt idx="0">
                  <c:v>2.1842295333116251E-3</c:v>
                </c:pt>
                <c:pt idx="1">
                  <c:v>-5.4548725940866231E-3</c:v>
                </c:pt>
                <c:pt idx="2">
                  <c:v>-4.2552099107475835E-3</c:v>
                </c:pt>
                <c:pt idx="3">
                  <c:v>3.181308587767957E-3</c:v>
                </c:pt>
                <c:pt idx="4">
                  <c:v>-1.1704148291727815E-3</c:v>
                </c:pt>
                <c:pt idx="5">
                  <c:v>3.8907405275613615E-3</c:v>
                </c:pt>
                <c:pt idx="6">
                  <c:v>-1.8749877753996462E-3</c:v>
                </c:pt>
                <c:pt idx="7">
                  <c:v>1.978979118048442E-2</c:v>
                </c:pt>
                <c:pt idx="8">
                  <c:v>2.1106858764310212E-3</c:v>
                </c:pt>
                <c:pt idx="9">
                  <c:v>2.9967756501013652E-3</c:v>
                </c:pt>
                <c:pt idx="10">
                  <c:v>9.452173576180151E-4</c:v>
                </c:pt>
                <c:pt idx="11">
                  <c:v>4.5496703851239922E-3</c:v>
                </c:pt>
                <c:pt idx="12">
                  <c:v>8.3328874917322267E-3</c:v>
                </c:pt>
                <c:pt idx="13">
                  <c:v>5.0978867549073313E-3</c:v>
                </c:pt>
                <c:pt idx="14">
                  <c:v>6.3324328913011334E-3</c:v>
                </c:pt>
                <c:pt idx="15">
                  <c:v>2.2330396922554425E-4</c:v>
                </c:pt>
                <c:pt idx="16">
                  <c:v>1.3683390172314837E-3</c:v>
                </c:pt>
                <c:pt idx="17">
                  <c:v>6.1457926410318497E-3</c:v>
                </c:pt>
                <c:pt idx="18">
                  <c:v>1.7371191118685861E-2</c:v>
                </c:pt>
                <c:pt idx="19">
                  <c:v>4.4999534739743972E-3</c:v>
                </c:pt>
                <c:pt idx="20">
                  <c:v>7.6682203433929711E-3</c:v>
                </c:pt>
                <c:pt idx="21">
                  <c:v>8.2502390509522766E-3</c:v>
                </c:pt>
                <c:pt idx="22">
                  <c:v>5.4395405894076274E-3</c:v>
                </c:pt>
                <c:pt idx="23">
                  <c:v>-7.7677078803566587E-3</c:v>
                </c:pt>
                <c:pt idx="24">
                  <c:v>7.6527423879667184E-3</c:v>
                </c:pt>
                <c:pt idx="25">
                  <c:v>-2.0200807658211843E-3</c:v>
                </c:pt>
                <c:pt idx="26">
                  <c:v>9.8747905454981948E-3</c:v>
                </c:pt>
                <c:pt idx="27">
                  <c:v>9.6510420504808368E-3</c:v>
                </c:pt>
                <c:pt idx="28">
                  <c:v>1.0078255779440078E-2</c:v>
                </c:pt>
                <c:pt idx="29">
                  <c:v>9.023228781920618E-3</c:v>
                </c:pt>
                <c:pt idx="30">
                  <c:v>-6.5207221315661547E-4</c:v>
                </c:pt>
                <c:pt idx="31">
                  <c:v>1.2260548805920111E-2</c:v>
                </c:pt>
                <c:pt idx="32">
                  <c:v>2.3748095527479623E-3</c:v>
                </c:pt>
                <c:pt idx="33">
                  <c:v>3.7974012691639109E-3</c:v>
                </c:pt>
                <c:pt idx="34">
                  <c:v>1.0980383693944691E-2</c:v>
                </c:pt>
                <c:pt idx="35">
                  <c:v>4.5835448619393473E-3</c:v>
                </c:pt>
              </c:numCache>
            </c:numRef>
          </c:val>
        </c:ser>
        <c:marker val="1"/>
        <c:axId val="87461888"/>
        <c:axId val="87463424"/>
      </c:lineChart>
      <c:dateAx>
        <c:axId val="87461888"/>
        <c:scaling>
          <c:orientation val="minMax"/>
        </c:scaling>
        <c:axPos val="b"/>
        <c:numFmt formatCode="dd/mm/yyyy" sourceLinked="1"/>
        <c:tickLblPos val="nextTo"/>
        <c:crossAx val="87463424"/>
        <c:crosses val="autoZero"/>
        <c:auto val="1"/>
        <c:lblOffset val="100"/>
        <c:baseTimeUnit val="months"/>
      </c:dateAx>
      <c:valAx>
        <c:axId val="87463424"/>
        <c:scaling>
          <c:orientation val="minMax"/>
        </c:scaling>
        <c:axPos val="l"/>
        <c:numFmt formatCode="0.00%" sourceLinked="1"/>
        <c:tickLblPos val="nextTo"/>
        <c:crossAx val="87461888"/>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mk-MK"/>
  <c:style val="25"/>
  <c:chart>
    <c:plotArea>
      <c:layout/>
      <c:areaChart>
        <c:grouping val="standard"/>
        <c:ser>
          <c:idx val="0"/>
          <c:order val="0"/>
          <c:cat>
            <c:numRef>
              <c:f>'KB Mandatory Pension Fund'!$A$6:$A$42</c:f>
              <c:numCache>
                <c:formatCode>dd/mm/yyyy</c:formatCode>
                <c:ptCount val="37"/>
                <c:pt idx="0">
                  <c:v>40724</c:v>
                </c:pt>
                <c:pt idx="1">
                  <c:v>40755</c:v>
                </c:pt>
                <c:pt idx="2">
                  <c:v>40786</c:v>
                </c:pt>
                <c:pt idx="3">
                  <c:v>40816</c:v>
                </c:pt>
                <c:pt idx="4">
                  <c:v>40847</c:v>
                </c:pt>
                <c:pt idx="5">
                  <c:v>40877</c:v>
                </c:pt>
                <c:pt idx="6">
                  <c:v>40908</c:v>
                </c:pt>
                <c:pt idx="7">
                  <c:v>40939</c:v>
                </c:pt>
                <c:pt idx="8">
                  <c:v>40968</c:v>
                </c:pt>
                <c:pt idx="9">
                  <c:v>40999</c:v>
                </c:pt>
                <c:pt idx="10">
                  <c:v>41029</c:v>
                </c:pt>
                <c:pt idx="11">
                  <c:v>41060</c:v>
                </c:pt>
                <c:pt idx="12">
                  <c:v>41090</c:v>
                </c:pt>
                <c:pt idx="13">
                  <c:v>41121</c:v>
                </c:pt>
                <c:pt idx="14">
                  <c:v>41152</c:v>
                </c:pt>
                <c:pt idx="15">
                  <c:v>41182</c:v>
                </c:pt>
                <c:pt idx="16">
                  <c:v>41213</c:v>
                </c:pt>
                <c:pt idx="17">
                  <c:v>41243</c:v>
                </c:pt>
                <c:pt idx="18">
                  <c:v>41274</c:v>
                </c:pt>
                <c:pt idx="19">
                  <c:v>41305</c:v>
                </c:pt>
                <c:pt idx="20">
                  <c:v>41333</c:v>
                </c:pt>
                <c:pt idx="21">
                  <c:v>41364</c:v>
                </c:pt>
                <c:pt idx="22">
                  <c:v>41394</c:v>
                </c:pt>
                <c:pt idx="23">
                  <c:v>41425</c:v>
                </c:pt>
                <c:pt idx="24">
                  <c:v>41455</c:v>
                </c:pt>
                <c:pt idx="25">
                  <c:v>41486</c:v>
                </c:pt>
                <c:pt idx="26">
                  <c:v>41517</c:v>
                </c:pt>
                <c:pt idx="27">
                  <c:v>41547</c:v>
                </c:pt>
                <c:pt idx="28">
                  <c:v>41578</c:v>
                </c:pt>
                <c:pt idx="29">
                  <c:v>41608</c:v>
                </c:pt>
                <c:pt idx="30">
                  <c:v>41639</c:v>
                </c:pt>
                <c:pt idx="31">
                  <c:v>41670</c:v>
                </c:pt>
                <c:pt idx="32">
                  <c:v>41698</c:v>
                </c:pt>
                <c:pt idx="33">
                  <c:v>41729</c:v>
                </c:pt>
                <c:pt idx="34">
                  <c:v>41759</c:v>
                </c:pt>
                <c:pt idx="35">
                  <c:v>41790</c:v>
                </c:pt>
                <c:pt idx="36">
                  <c:v>41820</c:v>
                </c:pt>
              </c:numCache>
            </c:numRef>
          </c:cat>
          <c:val>
            <c:numRef>
              <c:f>'KB Mandatory Pension Fund'!$E$7:$E$42</c:f>
              <c:numCache>
                <c:formatCode>0.00%</c:formatCode>
                <c:ptCount val="36"/>
                <c:pt idx="0">
                  <c:v>0</c:v>
                </c:pt>
                <c:pt idx="1">
                  <c:v>-1.9060161315595129E-2</c:v>
                </c:pt>
                <c:pt idx="2">
                  <c:v>-4.1978615610753375E-2</c:v>
                </c:pt>
                <c:pt idx="3">
                  <c:v>-3.1458779463226456E-2</c:v>
                </c:pt>
                <c:pt idx="4">
                  <c:v>-3.709363318236434E-2</c:v>
                </c:pt>
                <c:pt idx="5">
                  <c:v>-2.4816635950545753E-2</c:v>
                </c:pt>
                <c:pt idx="6">
                  <c:v>-8.4545190004700066E-3</c:v>
                </c:pt>
                <c:pt idx="7">
                  <c:v>0</c:v>
                </c:pt>
                <c:pt idx="8">
                  <c:v>0</c:v>
                </c:pt>
                <c:pt idx="9">
                  <c:v>-6.6755810437108282E-3</c:v>
                </c:pt>
                <c:pt idx="10">
                  <c:v>-1.3609849050691812E-2</c:v>
                </c:pt>
                <c:pt idx="11">
                  <c:v>-1.0850278543920141E-3</c:v>
                </c:pt>
                <c:pt idx="12">
                  <c:v>0</c:v>
                </c:pt>
                <c:pt idx="13">
                  <c:v>0</c:v>
                </c:pt>
                <c:pt idx="14">
                  <c:v>0</c:v>
                </c:pt>
                <c:pt idx="15">
                  <c:v>0</c:v>
                </c:pt>
                <c:pt idx="16">
                  <c:v>0</c:v>
                </c:pt>
                <c:pt idx="17">
                  <c:v>0</c:v>
                </c:pt>
                <c:pt idx="18">
                  <c:v>0</c:v>
                </c:pt>
                <c:pt idx="19">
                  <c:v>0</c:v>
                </c:pt>
                <c:pt idx="20">
                  <c:v>0</c:v>
                </c:pt>
                <c:pt idx="21">
                  <c:v>0</c:v>
                </c:pt>
                <c:pt idx="22">
                  <c:v>0</c:v>
                </c:pt>
                <c:pt idx="23">
                  <c:v>-5.9172879006892404E-3</c:v>
                </c:pt>
                <c:pt idx="24">
                  <c:v>0</c:v>
                </c:pt>
                <c:pt idx="25">
                  <c:v>-4.9312458850076391E-4</c:v>
                </c:pt>
                <c:pt idx="26">
                  <c:v>0</c:v>
                </c:pt>
                <c:pt idx="27">
                  <c:v>0</c:v>
                </c:pt>
                <c:pt idx="28">
                  <c:v>0</c:v>
                </c:pt>
                <c:pt idx="29">
                  <c:v>0</c:v>
                </c:pt>
                <c:pt idx="30">
                  <c:v>-7.38494537498538E-4</c:v>
                </c:pt>
                <c:pt idx="31">
                  <c:v>0</c:v>
                </c:pt>
                <c:pt idx="32">
                  <c:v>0</c:v>
                </c:pt>
                <c:pt idx="33">
                  <c:v>0</c:v>
                </c:pt>
                <c:pt idx="34">
                  <c:v>0</c:v>
                </c:pt>
                <c:pt idx="35">
                  <c:v>0</c:v>
                </c:pt>
              </c:numCache>
            </c:numRef>
          </c:val>
        </c:ser>
        <c:axId val="90560384"/>
        <c:axId val="90561920"/>
      </c:areaChart>
      <c:lineChart>
        <c:grouping val="standard"/>
        <c:ser>
          <c:idx val="1"/>
          <c:order val="1"/>
          <c:marker>
            <c:symbol val="none"/>
          </c:marker>
          <c:val>
            <c:numRef>
              <c:f>'KB Mandatory Pension Fund'!$C$7:$C$42</c:f>
              <c:numCache>
                <c:formatCode>0.00%</c:formatCode>
                <c:ptCount val="36"/>
                <c:pt idx="0">
                  <c:v>1.7654338111861001E-3</c:v>
                </c:pt>
                <c:pt idx="1">
                  <c:v>-1.9244147816786641E-2</c:v>
                </c:pt>
                <c:pt idx="2">
                  <c:v>-2.3641031534176796E-2</c:v>
                </c:pt>
                <c:pt idx="3">
                  <c:v>1.0920943525221738E-2</c:v>
                </c:pt>
                <c:pt idx="4">
                  <c:v>-5.8348668044484993E-3</c:v>
                </c:pt>
                <c:pt idx="5">
                  <c:v>1.2669342655512993E-2</c:v>
                </c:pt>
                <c:pt idx="6">
                  <c:v>1.6639298802551872E-2</c:v>
                </c:pt>
                <c:pt idx="7">
                  <c:v>2.9650143122784998E-2</c:v>
                </c:pt>
                <c:pt idx="8">
                  <c:v>2.4981718124985788E-3</c:v>
                </c:pt>
                <c:pt idx="9">
                  <c:v>-6.6979623961430134E-3</c:v>
                </c:pt>
                <c:pt idx="10">
                  <c:v>-7.0053496302864863E-3</c:v>
                </c:pt>
                <c:pt idx="11">
                  <c:v>1.2617695103172372E-2</c:v>
                </c:pt>
                <c:pt idx="12">
                  <c:v>8.3888331554146673E-3</c:v>
                </c:pt>
                <c:pt idx="13">
                  <c:v>7.7112229596305037E-3</c:v>
                </c:pt>
                <c:pt idx="14">
                  <c:v>5.5456731973847909E-3</c:v>
                </c:pt>
                <c:pt idx="15">
                  <c:v>4.1190814469788915E-3</c:v>
                </c:pt>
                <c:pt idx="16">
                  <c:v>5.5546974261035534E-3</c:v>
                </c:pt>
                <c:pt idx="17">
                  <c:v>6.5443926946544195E-3</c:v>
                </c:pt>
                <c:pt idx="18">
                  <c:v>8.6161247939917501E-3</c:v>
                </c:pt>
                <c:pt idx="19">
                  <c:v>6.3583684180815577E-3</c:v>
                </c:pt>
                <c:pt idx="20">
                  <c:v>7.3359898781291304E-3</c:v>
                </c:pt>
                <c:pt idx="21">
                  <c:v>7.028865374578688E-3</c:v>
                </c:pt>
                <c:pt idx="22">
                  <c:v>7.8728046232273054E-3</c:v>
                </c:pt>
                <c:pt idx="23">
                  <c:v>-5.9348644199209788E-3</c:v>
                </c:pt>
                <c:pt idx="24">
                  <c:v>9.0969352093631748E-3</c:v>
                </c:pt>
                <c:pt idx="25">
                  <c:v>-4.9324621441673017E-4</c:v>
                </c:pt>
                <c:pt idx="26">
                  <c:v>1.0710812199065441E-2</c:v>
                </c:pt>
                <c:pt idx="27">
                  <c:v>1.0797475225471361E-2</c:v>
                </c:pt>
                <c:pt idx="28">
                  <c:v>8.6036732224899267E-3</c:v>
                </c:pt>
                <c:pt idx="29">
                  <c:v>6.9355325663955315E-3</c:v>
                </c:pt>
                <c:pt idx="30">
                  <c:v>-7.3876735891583909E-4</c:v>
                </c:pt>
                <c:pt idx="31">
                  <c:v>1.1387691951644578E-2</c:v>
                </c:pt>
                <c:pt idx="32">
                  <c:v>2.1472905808370625E-3</c:v>
                </c:pt>
                <c:pt idx="33">
                  <c:v>3.7329375111940333E-3</c:v>
                </c:pt>
                <c:pt idx="34">
                  <c:v>1.1006250367154229E-2</c:v>
                </c:pt>
                <c:pt idx="35">
                  <c:v>6.2443042466369765E-3</c:v>
                </c:pt>
              </c:numCache>
            </c:numRef>
          </c:val>
        </c:ser>
        <c:marker val="1"/>
        <c:axId val="90560384"/>
        <c:axId val="90561920"/>
      </c:lineChart>
      <c:dateAx>
        <c:axId val="90560384"/>
        <c:scaling>
          <c:orientation val="minMax"/>
        </c:scaling>
        <c:axPos val="b"/>
        <c:numFmt formatCode="dd/mm/yyyy" sourceLinked="1"/>
        <c:tickLblPos val="nextTo"/>
        <c:crossAx val="90561920"/>
        <c:crosses val="autoZero"/>
        <c:auto val="1"/>
        <c:lblOffset val="100"/>
        <c:baseTimeUnit val="months"/>
      </c:dateAx>
      <c:valAx>
        <c:axId val="90561920"/>
        <c:scaling>
          <c:orientation val="minMax"/>
        </c:scaling>
        <c:axPos val="l"/>
        <c:numFmt formatCode="0.00%" sourceLinked="1"/>
        <c:tickLblPos val="nextTo"/>
        <c:crossAx val="90560384"/>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mk-MK"/>
  <c:style val="25"/>
  <c:chart>
    <c:plotArea>
      <c:layout/>
      <c:areaChart>
        <c:grouping val="standard"/>
        <c:ser>
          <c:idx val="0"/>
          <c:order val="0"/>
          <c:cat>
            <c:numRef>
              <c:f>'KB Publicum'!$A$6:$A$42</c:f>
              <c:numCache>
                <c:formatCode>dd/mm/yyyy</c:formatCode>
                <c:ptCount val="37"/>
                <c:pt idx="0">
                  <c:v>40724</c:v>
                </c:pt>
                <c:pt idx="1">
                  <c:v>40755</c:v>
                </c:pt>
                <c:pt idx="2">
                  <c:v>40786</c:v>
                </c:pt>
                <c:pt idx="3">
                  <c:v>40816</c:v>
                </c:pt>
                <c:pt idx="4">
                  <c:v>40847</c:v>
                </c:pt>
                <c:pt idx="5">
                  <c:v>40877</c:v>
                </c:pt>
                <c:pt idx="6">
                  <c:v>40908</c:v>
                </c:pt>
                <c:pt idx="7">
                  <c:v>40939</c:v>
                </c:pt>
                <c:pt idx="8">
                  <c:v>40968</c:v>
                </c:pt>
                <c:pt idx="9">
                  <c:v>40999</c:v>
                </c:pt>
                <c:pt idx="10">
                  <c:v>41029</c:v>
                </c:pt>
                <c:pt idx="11">
                  <c:v>41060</c:v>
                </c:pt>
                <c:pt idx="12">
                  <c:v>41090</c:v>
                </c:pt>
                <c:pt idx="13">
                  <c:v>41121</c:v>
                </c:pt>
                <c:pt idx="14">
                  <c:v>41152</c:v>
                </c:pt>
                <c:pt idx="15">
                  <c:v>41182</c:v>
                </c:pt>
                <c:pt idx="16">
                  <c:v>41213</c:v>
                </c:pt>
                <c:pt idx="17">
                  <c:v>41243</c:v>
                </c:pt>
                <c:pt idx="18">
                  <c:v>41274</c:v>
                </c:pt>
                <c:pt idx="19">
                  <c:v>41305</c:v>
                </c:pt>
                <c:pt idx="20">
                  <c:v>41333</c:v>
                </c:pt>
                <c:pt idx="21">
                  <c:v>41364</c:v>
                </c:pt>
                <c:pt idx="22">
                  <c:v>41394</c:v>
                </c:pt>
                <c:pt idx="23">
                  <c:v>41425</c:v>
                </c:pt>
                <c:pt idx="24">
                  <c:v>41455</c:v>
                </c:pt>
                <c:pt idx="25">
                  <c:v>41486</c:v>
                </c:pt>
                <c:pt idx="26">
                  <c:v>41517</c:v>
                </c:pt>
                <c:pt idx="27">
                  <c:v>41547</c:v>
                </c:pt>
                <c:pt idx="28">
                  <c:v>41578</c:v>
                </c:pt>
                <c:pt idx="29">
                  <c:v>41608</c:v>
                </c:pt>
                <c:pt idx="30">
                  <c:v>41639</c:v>
                </c:pt>
                <c:pt idx="31">
                  <c:v>41670</c:v>
                </c:pt>
                <c:pt idx="32">
                  <c:v>41698</c:v>
                </c:pt>
                <c:pt idx="33">
                  <c:v>41729</c:v>
                </c:pt>
                <c:pt idx="34">
                  <c:v>41759</c:v>
                </c:pt>
                <c:pt idx="35">
                  <c:v>41790</c:v>
                </c:pt>
                <c:pt idx="36">
                  <c:v>41820</c:v>
                </c:pt>
              </c:numCache>
            </c:numRef>
          </c:cat>
          <c:val>
            <c:numRef>
              <c:f>'KB Publicum'!$E$7:$E$42</c:f>
              <c:numCache>
                <c:formatCode>0.00%</c:formatCode>
                <c:ptCount val="36"/>
                <c:pt idx="0">
                  <c:v>-1.7791155113429105E-3</c:v>
                </c:pt>
                <c:pt idx="1">
                  <c:v>-7.3132101299129171E-2</c:v>
                </c:pt>
                <c:pt idx="2">
                  <c:v>-0.12271557722140466</c:v>
                </c:pt>
                <c:pt idx="3">
                  <c:v>-0.10768777114499506</c:v>
                </c:pt>
                <c:pt idx="4">
                  <c:v>-0.13723647344591244</c:v>
                </c:pt>
                <c:pt idx="5">
                  <c:v>-0.14296139891339882</c:v>
                </c:pt>
                <c:pt idx="6">
                  <c:v>-0.12624915309565121</c:v>
                </c:pt>
                <c:pt idx="7">
                  <c:v>-8.8973527274018249E-2</c:v>
                </c:pt>
                <c:pt idx="8">
                  <c:v>-0.10047170229993092</c:v>
                </c:pt>
                <c:pt idx="9">
                  <c:v>-0.11840289865649165</c:v>
                </c:pt>
                <c:pt idx="10">
                  <c:v>-0.12733003480320756</c:v>
                </c:pt>
                <c:pt idx="11">
                  <c:v>-0.13327685660664287</c:v>
                </c:pt>
                <c:pt idx="12">
                  <c:v>-0.14893977930683541</c:v>
                </c:pt>
                <c:pt idx="13">
                  <c:v>-0.14239235808743197</c:v>
                </c:pt>
                <c:pt idx="14">
                  <c:v>-0.14284305420089224</c:v>
                </c:pt>
                <c:pt idx="15">
                  <c:v>-0.16453465379733712</c:v>
                </c:pt>
                <c:pt idx="16">
                  <c:v>-0.16397941985449588</c:v>
                </c:pt>
                <c:pt idx="17">
                  <c:v>-0.16149319468592868</c:v>
                </c:pt>
                <c:pt idx="18">
                  <c:v>-0.12938824659487771</c:v>
                </c:pt>
                <c:pt idx="19">
                  <c:v>-0.13705205293558967</c:v>
                </c:pt>
                <c:pt idx="20">
                  <c:v>-0.13024723196648558</c:v>
                </c:pt>
                <c:pt idx="21">
                  <c:v>-0.11696501039954155</c:v>
                </c:pt>
                <c:pt idx="22">
                  <c:v>-0.12424814124835973</c:v>
                </c:pt>
                <c:pt idx="23">
                  <c:v>-0.12254890841795814</c:v>
                </c:pt>
                <c:pt idx="24">
                  <c:v>-0.11841571933368017</c:v>
                </c:pt>
                <c:pt idx="25">
                  <c:v>-0.10499937375922989</c:v>
                </c:pt>
                <c:pt idx="26">
                  <c:v>-0.10530608380580821</c:v>
                </c:pt>
                <c:pt idx="27">
                  <c:v>-8.9888726384066267E-2</c:v>
                </c:pt>
                <c:pt idx="28">
                  <c:v>-8.8427169184615351E-2</c:v>
                </c:pt>
                <c:pt idx="29">
                  <c:v>-4.4372363748253332E-2</c:v>
                </c:pt>
                <c:pt idx="30">
                  <c:v>-4.1401911464348323E-2</c:v>
                </c:pt>
                <c:pt idx="31">
                  <c:v>-4.3129744266938316E-2</c:v>
                </c:pt>
                <c:pt idx="32">
                  <c:v>-2.1100862239851213E-2</c:v>
                </c:pt>
                <c:pt idx="33">
                  <c:v>-1.6949921448697142E-2</c:v>
                </c:pt>
                <c:pt idx="34">
                  <c:v>0</c:v>
                </c:pt>
                <c:pt idx="35">
                  <c:v>0</c:v>
                </c:pt>
              </c:numCache>
            </c:numRef>
          </c:val>
        </c:ser>
        <c:axId val="100752384"/>
        <c:axId val="164593664"/>
      </c:areaChart>
      <c:lineChart>
        <c:grouping val="standard"/>
        <c:ser>
          <c:idx val="1"/>
          <c:order val="1"/>
          <c:marker>
            <c:symbol val="none"/>
          </c:marker>
          <c:val>
            <c:numRef>
              <c:f>'KB Publicum'!$C$7:$C$42</c:f>
              <c:numCache>
                <c:formatCode>0.00%</c:formatCode>
                <c:ptCount val="36"/>
                <c:pt idx="0">
                  <c:v>-1.7807000169688535E-3</c:v>
                </c:pt>
                <c:pt idx="1">
                  <c:v>-7.4163527652292505E-2</c:v>
                </c:pt>
                <c:pt idx="2">
                  <c:v>-5.4979798202360167E-2</c:v>
                </c:pt>
                <c:pt idx="3">
                  <c:v>1.6984850571123269E-2</c:v>
                </c:pt>
                <c:pt idx="4">
                  <c:v>-3.3675463409638576E-2</c:v>
                </c:pt>
                <c:pt idx="5">
                  <c:v>-6.6576805805324693E-3</c:v>
                </c:pt>
                <c:pt idx="6">
                  <c:v>1.9312303131445815E-2</c:v>
                </c:pt>
                <c:pt idx="7">
                  <c:v>4.1776692989573878E-2</c:v>
                </c:pt>
                <c:pt idx="8">
                  <c:v>-1.2701443550343718E-2</c:v>
                </c:pt>
                <c:pt idx="9">
                  <c:v>-2.0135361818640202E-2</c:v>
                </c:pt>
                <c:pt idx="10">
                  <c:v>-1.0177712820654322E-2</c:v>
                </c:pt>
                <c:pt idx="11">
                  <c:v>-6.8378389506878103E-3</c:v>
                </c:pt>
                <c:pt idx="12">
                  <c:v>-1.8236707980669835E-2</c:v>
                </c:pt>
                <c:pt idx="13">
                  <c:v>7.6638103975753815E-3</c:v>
                </c:pt>
                <c:pt idx="14">
                  <c:v>-5.2566530364467139E-4</c:v>
                </c:pt>
                <c:pt idx="15">
                  <c:v>-2.5632165327495692E-2</c:v>
                </c:pt>
                <c:pt idx="16">
                  <c:v>6.6435972270095908E-4</c:v>
                </c:pt>
                <c:pt idx="17">
                  <c:v>2.9694671070318642E-3</c:v>
                </c:pt>
                <c:pt idx="18">
                  <c:v>3.7573432089882515E-2</c:v>
                </c:pt>
                <c:pt idx="19">
                  <c:v>-8.8417563769325521E-3</c:v>
                </c:pt>
                <c:pt idx="20">
                  <c:v>7.8546235886256324E-3</c:v>
                </c:pt>
                <c:pt idx="21">
                  <c:v>1.5155829051226487E-2</c:v>
                </c:pt>
                <c:pt idx="22">
                  <c:v>-8.2820410967869885E-3</c:v>
                </c:pt>
                <c:pt idx="23">
                  <c:v>1.9384331541916137E-3</c:v>
                </c:pt>
                <c:pt idx="24">
                  <c:v>4.6993900816559809E-3</c:v>
                </c:pt>
                <c:pt idx="25">
                  <c:v>1.5103810205446301E-2</c:v>
                </c:pt>
                <c:pt idx="26">
                  <c:v>-3.4275128219809304E-4</c:v>
                </c:pt>
                <c:pt idx="27">
                  <c:v>1.7085204031522919E-2</c:v>
                </c:pt>
                <c:pt idx="28">
                  <c:v>1.6046223486267577E-3</c:v>
                </c:pt>
                <c:pt idx="29">
                  <c:v>4.7196842264223916E-2</c:v>
                </c:pt>
                <c:pt idx="30">
                  <c:v>3.1035573597616921E-3</c:v>
                </c:pt>
                <c:pt idx="31">
                  <c:v>-1.8040843915738424E-3</c:v>
                </c:pt>
                <c:pt idx="32">
                  <c:v>2.2760803126400442E-2</c:v>
                </c:pt>
                <c:pt idx="33">
                  <c:v>4.2314520174687826E-3</c:v>
                </c:pt>
                <c:pt idx="34">
                  <c:v>4.2521993325898733E-2</c:v>
                </c:pt>
                <c:pt idx="35">
                  <c:v>3.4552294669185782E-3</c:v>
                </c:pt>
              </c:numCache>
            </c:numRef>
          </c:val>
        </c:ser>
        <c:marker val="1"/>
        <c:axId val="100752384"/>
        <c:axId val="164593664"/>
      </c:lineChart>
      <c:dateAx>
        <c:axId val="100752384"/>
        <c:scaling>
          <c:orientation val="minMax"/>
        </c:scaling>
        <c:axPos val="b"/>
        <c:numFmt formatCode="dd/mm/yyyy" sourceLinked="1"/>
        <c:tickLblPos val="nextTo"/>
        <c:crossAx val="164593664"/>
        <c:crosses val="autoZero"/>
        <c:auto val="1"/>
        <c:lblOffset val="100"/>
        <c:baseTimeUnit val="months"/>
      </c:dateAx>
      <c:valAx>
        <c:axId val="164593664"/>
        <c:scaling>
          <c:orientation val="minMax"/>
        </c:scaling>
        <c:axPos val="l"/>
        <c:numFmt formatCode="0.00%" sourceLinked="1"/>
        <c:tickLblPos val="nextTo"/>
        <c:crossAx val="100752384"/>
        <c:crosses val="autoZero"/>
        <c:crossBetween val="between"/>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mk-MK"/>
  <c:style val="25"/>
  <c:chart>
    <c:plotArea>
      <c:layout/>
      <c:areaChart>
        <c:grouping val="standard"/>
        <c:ser>
          <c:idx val="0"/>
          <c:order val="0"/>
          <c:cat>
            <c:numRef>
              <c:f>'KD BRIC'!$A$6:$A$42</c:f>
              <c:numCache>
                <c:formatCode>dd/mm/yyyy</c:formatCode>
                <c:ptCount val="37"/>
                <c:pt idx="0">
                  <c:v>40724</c:v>
                </c:pt>
                <c:pt idx="1">
                  <c:v>40755</c:v>
                </c:pt>
                <c:pt idx="2">
                  <c:v>40786</c:v>
                </c:pt>
                <c:pt idx="3">
                  <c:v>40816</c:v>
                </c:pt>
                <c:pt idx="4">
                  <c:v>40847</c:v>
                </c:pt>
                <c:pt idx="5">
                  <c:v>40877</c:v>
                </c:pt>
                <c:pt idx="6">
                  <c:v>40908</c:v>
                </c:pt>
                <c:pt idx="7">
                  <c:v>40939</c:v>
                </c:pt>
                <c:pt idx="8">
                  <c:v>40968</c:v>
                </c:pt>
                <c:pt idx="9">
                  <c:v>40999</c:v>
                </c:pt>
                <c:pt idx="10">
                  <c:v>41029</c:v>
                </c:pt>
                <c:pt idx="11">
                  <c:v>41060</c:v>
                </c:pt>
                <c:pt idx="12">
                  <c:v>41090</c:v>
                </c:pt>
                <c:pt idx="13">
                  <c:v>41121</c:v>
                </c:pt>
                <c:pt idx="14">
                  <c:v>41152</c:v>
                </c:pt>
                <c:pt idx="15">
                  <c:v>41182</c:v>
                </c:pt>
                <c:pt idx="16">
                  <c:v>41213</c:v>
                </c:pt>
                <c:pt idx="17">
                  <c:v>41243</c:v>
                </c:pt>
                <c:pt idx="18">
                  <c:v>41274</c:v>
                </c:pt>
                <c:pt idx="19">
                  <c:v>41305</c:v>
                </c:pt>
                <c:pt idx="20">
                  <c:v>41333</c:v>
                </c:pt>
                <c:pt idx="21">
                  <c:v>41364</c:v>
                </c:pt>
                <c:pt idx="22">
                  <c:v>41394</c:v>
                </c:pt>
                <c:pt idx="23">
                  <c:v>41425</c:v>
                </c:pt>
                <c:pt idx="24">
                  <c:v>41455</c:v>
                </c:pt>
                <c:pt idx="25">
                  <c:v>41486</c:v>
                </c:pt>
                <c:pt idx="26">
                  <c:v>41517</c:v>
                </c:pt>
                <c:pt idx="27">
                  <c:v>41547</c:v>
                </c:pt>
                <c:pt idx="28">
                  <c:v>41578</c:v>
                </c:pt>
                <c:pt idx="29">
                  <c:v>41608</c:v>
                </c:pt>
                <c:pt idx="30">
                  <c:v>41639</c:v>
                </c:pt>
                <c:pt idx="31">
                  <c:v>41670</c:v>
                </c:pt>
                <c:pt idx="32">
                  <c:v>41698</c:v>
                </c:pt>
                <c:pt idx="33">
                  <c:v>41729</c:v>
                </c:pt>
                <c:pt idx="34">
                  <c:v>41759</c:v>
                </c:pt>
                <c:pt idx="35">
                  <c:v>41790</c:v>
                </c:pt>
                <c:pt idx="36">
                  <c:v>41820</c:v>
                </c:pt>
              </c:numCache>
            </c:numRef>
          </c:cat>
          <c:val>
            <c:numRef>
              <c:f>'KD BRIC'!$E$7:$E$42</c:f>
              <c:numCache>
                <c:formatCode>0.00%</c:formatCode>
                <c:ptCount val="36"/>
                <c:pt idx="0">
                  <c:v>-4.1062031838155341E-3</c:v>
                </c:pt>
                <c:pt idx="1">
                  <c:v>-8.0934292132329527E-2</c:v>
                </c:pt>
                <c:pt idx="2">
                  <c:v>-0.13907070557098103</c:v>
                </c:pt>
                <c:pt idx="3">
                  <c:v>-9.4009848259387768E-2</c:v>
                </c:pt>
                <c:pt idx="4">
                  <c:v>-8.2912163044436563E-2</c:v>
                </c:pt>
                <c:pt idx="5">
                  <c:v>-9.6386077220481703E-2</c:v>
                </c:pt>
                <c:pt idx="6">
                  <c:v>-2.4565633962641987E-2</c:v>
                </c:pt>
                <c:pt idx="7">
                  <c:v>-1.3983626887643839E-2</c:v>
                </c:pt>
                <c:pt idx="8">
                  <c:v>-4.9310230775910256E-2</c:v>
                </c:pt>
                <c:pt idx="9">
                  <c:v>-6.0352901484927911E-2</c:v>
                </c:pt>
                <c:pt idx="10">
                  <c:v>-0.11208509617264745</c:v>
                </c:pt>
                <c:pt idx="11">
                  <c:v>-8.9486727916149922E-2</c:v>
                </c:pt>
                <c:pt idx="12">
                  <c:v>-6.4628125138779149E-2</c:v>
                </c:pt>
                <c:pt idx="13">
                  <c:v>-8.5163118010092201E-2</c:v>
                </c:pt>
                <c:pt idx="14">
                  <c:v>-6.0649847251892847E-2</c:v>
                </c:pt>
                <c:pt idx="15">
                  <c:v>-6.1479041793128325E-2</c:v>
                </c:pt>
                <c:pt idx="16">
                  <c:v>-6.4638067519369458E-2</c:v>
                </c:pt>
                <c:pt idx="17">
                  <c:v>-3.5489658929948181E-2</c:v>
                </c:pt>
                <c:pt idx="18">
                  <c:v>-3.0200312455880965E-2</c:v>
                </c:pt>
                <c:pt idx="19">
                  <c:v>-4.8348471160136824E-2</c:v>
                </c:pt>
                <c:pt idx="20">
                  <c:v>-5.1008389380742217E-2</c:v>
                </c:pt>
                <c:pt idx="21">
                  <c:v>-5.8257047656481632E-2</c:v>
                </c:pt>
                <c:pt idx="22">
                  <c:v>-8.1969625364471263E-2</c:v>
                </c:pt>
                <c:pt idx="23">
                  <c:v>-0.14037448307906294</c:v>
                </c:pt>
                <c:pt idx="24">
                  <c:v>-0.13703052907384067</c:v>
                </c:pt>
                <c:pt idx="25">
                  <c:v>-0.15031885214553317</c:v>
                </c:pt>
                <c:pt idx="26">
                  <c:v>-0.11070244244521631</c:v>
                </c:pt>
                <c:pt idx="27">
                  <c:v>-9.0762003933205895E-2</c:v>
                </c:pt>
                <c:pt idx="28">
                  <c:v>-8.6739979571721998E-2</c:v>
                </c:pt>
                <c:pt idx="29">
                  <c:v>-0.11083765882124465</c:v>
                </c:pt>
                <c:pt idx="30">
                  <c:v>-0.17094398926753226</c:v>
                </c:pt>
                <c:pt idx="31">
                  <c:v>-0.15896342065615796</c:v>
                </c:pt>
                <c:pt idx="32">
                  <c:v>-0.14373898467083818</c:v>
                </c:pt>
                <c:pt idx="33">
                  <c:v>-0.15715125608722341</c:v>
                </c:pt>
                <c:pt idx="34">
                  <c:v>-0.10651139761369605</c:v>
                </c:pt>
                <c:pt idx="35">
                  <c:v>-8.5035855538535848E-2</c:v>
                </c:pt>
              </c:numCache>
            </c:numRef>
          </c:val>
        </c:ser>
        <c:axId val="165563008"/>
        <c:axId val="166950784"/>
      </c:areaChart>
      <c:lineChart>
        <c:grouping val="standard"/>
        <c:ser>
          <c:idx val="1"/>
          <c:order val="1"/>
          <c:marker>
            <c:symbol val="none"/>
          </c:marker>
          <c:val>
            <c:numRef>
              <c:f>'KD BRIC'!$C$7:$C$42</c:f>
              <c:numCache>
                <c:formatCode>0.00%</c:formatCode>
                <c:ptCount val="36"/>
                <c:pt idx="0">
                  <c:v>-4.1146567855157119E-3</c:v>
                </c:pt>
                <c:pt idx="1">
                  <c:v>-8.028300308495033E-2</c:v>
                </c:pt>
                <c:pt idx="2">
                  <c:v>-6.5345238347495394E-2</c:v>
                </c:pt>
                <c:pt idx="3">
                  <c:v>5.1016055176250359E-2</c:v>
                </c:pt>
                <c:pt idx="4">
                  <c:v>1.2174819030324044E-2</c:v>
                </c:pt>
                <c:pt idx="5">
                  <c:v>-1.4801062373075635E-2</c:v>
                </c:pt>
                <c:pt idx="6">
                  <c:v>7.6480682820954701E-2</c:v>
                </c:pt>
                <c:pt idx="7">
                  <c:v>1.0790084636760093E-2</c:v>
                </c:pt>
                <c:pt idx="8">
                  <c:v>-3.6485166056722612E-2</c:v>
                </c:pt>
                <c:pt idx="9">
                  <c:v>-1.1683416336643521E-2</c:v>
                </c:pt>
                <c:pt idx="10">
                  <c:v>-5.6628468284998845E-2</c:v>
                </c:pt>
                <c:pt idx="11">
                  <c:v>2.5132566382752044E-2</c:v>
                </c:pt>
                <c:pt idx="12">
                  <c:v>2.6935701580743959E-2</c:v>
                </c:pt>
                <c:pt idx="13">
                  <c:v>-2.2198399006452207E-2</c:v>
                </c:pt>
                <c:pt idx="14">
                  <c:v>2.6442530989656408E-2</c:v>
                </c:pt>
                <c:pt idx="15">
                  <c:v>-8.8312194621780816E-4</c:v>
                </c:pt>
                <c:pt idx="16">
                  <c:v>-3.3716394280321601E-3</c:v>
                </c:pt>
                <c:pt idx="17">
                  <c:v>3.0687006028881185E-2</c:v>
                </c:pt>
                <c:pt idx="18">
                  <c:v>5.4689885069497766E-3</c:v>
                </c:pt>
                <c:pt idx="19">
                  <c:v>-1.8890615837946059E-2</c:v>
                </c:pt>
                <c:pt idx="20">
                  <c:v>-2.7989683091114536E-3</c:v>
                </c:pt>
                <c:pt idx="21">
                  <c:v>-7.6675953688076608E-3</c:v>
                </c:pt>
                <c:pt idx="22">
                  <c:v>-2.5501885058073336E-2</c:v>
                </c:pt>
                <c:pt idx="23">
                  <c:v>-6.5733628938480879E-2</c:v>
                </c:pt>
                <c:pt idx="24">
                  <c:v>3.8824659647198937E-3</c:v>
                </c:pt>
                <c:pt idx="25">
                  <c:v>-1.5518155999630209E-2</c:v>
                </c:pt>
                <c:pt idx="26">
                  <c:v>4.5570730983226525E-2</c:v>
                </c:pt>
                <c:pt idx="27">
                  <c:v>2.2174991842575251E-2</c:v>
                </c:pt>
                <c:pt idx="28">
                  <c:v>4.4137561243766943E-3</c:v>
                </c:pt>
                <c:pt idx="29">
                  <c:v>-2.6740808045883756E-2</c:v>
                </c:pt>
                <c:pt idx="30">
                  <c:v>-6.9992112776464957E-2</c:v>
                </c:pt>
                <c:pt idx="31">
                  <c:v>1.434743701933692E-2</c:v>
                </c:pt>
                <c:pt idx="32">
                  <c:v>1.7940100026544208E-2</c:v>
                </c:pt>
                <c:pt idx="33">
                  <c:v>-1.5787738172085505E-2</c:v>
                </c:pt>
                <c:pt idx="34">
                  <c:v>5.8346062435604897E-2</c:v>
                </c:pt>
                <c:pt idx="35">
                  <c:v>2.3751299751595959E-2</c:v>
                </c:pt>
              </c:numCache>
            </c:numRef>
          </c:val>
        </c:ser>
        <c:marker val="1"/>
        <c:axId val="165563008"/>
        <c:axId val="166950784"/>
      </c:lineChart>
      <c:dateAx>
        <c:axId val="165563008"/>
        <c:scaling>
          <c:orientation val="minMax"/>
        </c:scaling>
        <c:axPos val="b"/>
        <c:numFmt formatCode="dd/mm/yyyy" sourceLinked="1"/>
        <c:tickLblPos val="nextTo"/>
        <c:crossAx val="166950784"/>
        <c:crosses val="autoZero"/>
        <c:auto val="1"/>
        <c:lblOffset val="100"/>
        <c:baseTimeUnit val="months"/>
      </c:dateAx>
      <c:valAx>
        <c:axId val="166950784"/>
        <c:scaling>
          <c:orientation val="minMax"/>
        </c:scaling>
        <c:axPos val="l"/>
        <c:numFmt formatCode="0.00%" sourceLinked="1"/>
        <c:tickLblPos val="nextTo"/>
        <c:crossAx val="165563008"/>
        <c:crosses val="autoZero"/>
        <c:crossBetween val="between"/>
      </c:valAx>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mk-MK"/>
  <c:style val="25"/>
  <c:chart>
    <c:plotArea>
      <c:layout/>
      <c:areaChart>
        <c:grouping val="standard"/>
        <c:ser>
          <c:idx val="0"/>
          <c:order val="0"/>
          <c:cat>
            <c:numRef>
              <c:f>'KD BRIC'!$A$6:$A$42</c:f>
              <c:numCache>
                <c:formatCode>dd/mm/yyyy</c:formatCode>
                <c:ptCount val="37"/>
                <c:pt idx="0">
                  <c:v>40724</c:v>
                </c:pt>
                <c:pt idx="1">
                  <c:v>40755</c:v>
                </c:pt>
                <c:pt idx="2">
                  <c:v>40786</c:v>
                </c:pt>
                <c:pt idx="3">
                  <c:v>40816</c:v>
                </c:pt>
                <c:pt idx="4">
                  <c:v>40847</c:v>
                </c:pt>
                <c:pt idx="5">
                  <c:v>40877</c:v>
                </c:pt>
                <c:pt idx="6">
                  <c:v>40908</c:v>
                </c:pt>
                <c:pt idx="7">
                  <c:v>40939</c:v>
                </c:pt>
                <c:pt idx="8">
                  <c:v>40968</c:v>
                </c:pt>
                <c:pt idx="9">
                  <c:v>40999</c:v>
                </c:pt>
                <c:pt idx="10">
                  <c:v>41029</c:v>
                </c:pt>
                <c:pt idx="11">
                  <c:v>41060</c:v>
                </c:pt>
                <c:pt idx="12">
                  <c:v>41090</c:v>
                </c:pt>
                <c:pt idx="13">
                  <c:v>41121</c:v>
                </c:pt>
                <c:pt idx="14">
                  <c:v>41152</c:v>
                </c:pt>
                <c:pt idx="15">
                  <c:v>41182</c:v>
                </c:pt>
                <c:pt idx="16">
                  <c:v>41213</c:v>
                </c:pt>
                <c:pt idx="17">
                  <c:v>41243</c:v>
                </c:pt>
                <c:pt idx="18">
                  <c:v>41274</c:v>
                </c:pt>
                <c:pt idx="19">
                  <c:v>41305</c:v>
                </c:pt>
                <c:pt idx="20">
                  <c:v>41333</c:v>
                </c:pt>
                <c:pt idx="21">
                  <c:v>41364</c:v>
                </c:pt>
                <c:pt idx="22">
                  <c:v>41394</c:v>
                </c:pt>
                <c:pt idx="23">
                  <c:v>41425</c:v>
                </c:pt>
                <c:pt idx="24">
                  <c:v>41455</c:v>
                </c:pt>
                <c:pt idx="25">
                  <c:v>41486</c:v>
                </c:pt>
                <c:pt idx="26">
                  <c:v>41517</c:v>
                </c:pt>
                <c:pt idx="27">
                  <c:v>41547</c:v>
                </c:pt>
                <c:pt idx="28">
                  <c:v>41578</c:v>
                </c:pt>
                <c:pt idx="29">
                  <c:v>41608</c:v>
                </c:pt>
                <c:pt idx="30">
                  <c:v>41639</c:v>
                </c:pt>
                <c:pt idx="31">
                  <c:v>41670</c:v>
                </c:pt>
                <c:pt idx="32">
                  <c:v>41698</c:v>
                </c:pt>
                <c:pt idx="33">
                  <c:v>41729</c:v>
                </c:pt>
                <c:pt idx="34">
                  <c:v>41759</c:v>
                </c:pt>
                <c:pt idx="35">
                  <c:v>41790</c:v>
                </c:pt>
                <c:pt idx="36">
                  <c:v>41820</c:v>
                </c:pt>
              </c:numCache>
            </c:numRef>
          </c:cat>
          <c:val>
            <c:numRef>
              <c:f>'KD BRIC'!$E$7:$E$42</c:f>
              <c:numCache>
                <c:formatCode>0.00%</c:formatCode>
                <c:ptCount val="36"/>
                <c:pt idx="0">
                  <c:v>-4.1062031838155341E-3</c:v>
                </c:pt>
                <c:pt idx="1">
                  <c:v>-8.0934292132329527E-2</c:v>
                </c:pt>
                <c:pt idx="2">
                  <c:v>-0.13907070557098103</c:v>
                </c:pt>
                <c:pt idx="3">
                  <c:v>-9.4009848259387768E-2</c:v>
                </c:pt>
                <c:pt idx="4">
                  <c:v>-8.2912163044436563E-2</c:v>
                </c:pt>
                <c:pt idx="5">
                  <c:v>-9.6386077220481703E-2</c:v>
                </c:pt>
                <c:pt idx="6">
                  <c:v>-2.4565633962641987E-2</c:v>
                </c:pt>
                <c:pt idx="7">
                  <c:v>-1.3983626887643839E-2</c:v>
                </c:pt>
                <c:pt idx="8">
                  <c:v>-4.9310230775910256E-2</c:v>
                </c:pt>
                <c:pt idx="9">
                  <c:v>-6.0352901484927911E-2</c:v>
                </c:pt>
                <c:pt idx="10">
                  <c:v>-0.11208509617264745</c:v>
                </c:pt>
                <c:pt idx="11">
                  <c:v>-8.9486727916149922E-2</c:v>
                </c:pt>
                <c:pt idx="12">
                  <c:v>-6.4628125138779149E-2</c:v>
                </c:pt>
                <c:pt idx="13">
                  <c:v>-8.5163118010092201E-2</c:v>
                </c:pt>
                <c:pt idx="14">
                  <c:v>-6.0649847251892847E-2</c:v>
                </c:pt>
                <c:pt idx="15">
                  <c:v>-6.1479041793128325E-2</c:v>
                </c:pt>
                <c:pt idx="16">
                  <c:v>-6.4638067519369458E-2</c:v>
                </c:pt>
                <c:pt idx="17">
                  <c:v>-3.5489658929948181E-2</c:v>
                </c:pt>
                <c:pt idx="18">
                  <c:v>-3.0200312455880965E-2</c:v>
                </c:pt>
                <c:pt idx="19">
                  <c:v>-4.8348471160136824E-2</c:v>
                </c:pt>
                <c:pt idx="20">
                  <c:v>-5.1008389380742217E-2</c:v>
                </c:pt>
                <c:pt idx="21">
                  <c:v>-5.8257047656481632E-2</c:v>
                </c:pt>
                <c:pt idx="22">
                  <c:v>-8.1969625364471263E-2</c:v>
                </c:pt>
                <c:pt idx="23">
                  <c:v>-0.14037448307906294</c:v>
                </c:pt>
                <c:pt idx="24">
                  <c:v>-0.13703052907384067</c:v>
                </c:pt>
                <c:pt idx="25">
                  <c:v>-0.15031885214553317</c:v>
                </c:pt>
                <c:pt idx="26">
                  <c:v>-0.11070244244521631</c:v>
                </c:pt>
                <c:pt idx="27">
                  <c:v>-9.0762003933205895E-2</c:v>
                </c:pt>
                <c:pt idx="28">
                  <c:v>-8.6739979571721998E-2</c:v>
                </c:pt>
                <c:pt idx="29">
                  <c:v>-0.11083765882124465</c:v>
                </c:pt>
                <c:pt idx="30">
                  <c:v>-0.17094398926753226</c:v>
                </c:pt>
                <c:pt idx="31">
                  <c:v>-0.15896342065615796</c:v>
                </c:pt>
                <c:pt idx="32">
                  <c:v>-0.14373898467083818</c:v>
                </c:pt>
                <c:pt idx="33">
                  <c:v>-0.15715125608722341</c:v>
                </c:pt>
                <c:pt idx="34">
                  <c:v>-0.10651139761369605</c:v>
                </c:pt>
                <c:pt idx="35">
                  <c:v>-8.5035855538535848E-2</c:v>
                </c:pt>
              </c:numCache>
            </c:numRef>
          </c:val>
        </c:ser>
        <c:axId val="169009152"/>
        <c:axId val="169010688"/>
      </c:areaChart>
      <c:lineChart>
        <c:grouping val="standard"/>
        <c:ser>
          <c:idx val="1"/>
          <c:order val="1"/>
          <c:marker>
            <c:symbol val="none"/>
          </c:marker>
          <c:val>
            <c:numRef>
              <c:f>'KD BRIC'!$C$7:$C$42</c:f>
              <c:numCache>
                <c:formatCode>0.00%</c:formatCode>
                <c:ptCount val="36"/>
                <c:pt idx="0">
                  <c:v>-4.1146567855157119E-3</c:v>
                </c:pt>
                <c:pt idx="1">
                  <c:v>-8.028300308495033E-2</c:v>
                </c:pt>
                <c:pt idx="2">
                  <c:v>-6.5345238347495394E-2</c:v>
                </c:pt>
                <c:pt idx="3">
                  <c:v>5.1016055176250359E-2</c:v>
                </c:pt>
                <c:pt idx="4">
                  <c:v>1.2174819030324044E-2</c:v>
                </c:pt>
                <c:pt idx="5">
                  <c:v>-1.4801062373075635E-2</c:v>
                </c:pt>
                <c:pt idx="6">
                  <c:v>7.6480682820954701E-2</c:v>
                </c:pt>
                <c:pt idx="7">
                  <c:v>1.0790084636760093E-2</c:v>
                </c:pt>
                <c:pt idx="8">
                  <c:v>-3.6485166056722612E-2</c:v>
                </c:pt>
                <c:pt idx="9">
                  <c:v>-1.1683416336643521E-2</c:v>
                </c:pt>
                <c:pt idx="10">
                  <c:v>-5.6628468284998845E-2</c:v>
                </c:pt>
                <c:pt idx="11">
                  <c:v>2.5132566382752044E-2</c:v>
                </c:pt>
                <c:pt idx="12">
                  <c:v>2.6935701580743959E-2</c:v>
                </c:pt>
                <c:pt idx="13">
                  <c:v>-2.2198399006452207E-2</c:v>
                </c:pt>
                <c:pt idx="14">
                  <c:v>2.6442530989656408E-2</c:v>
                </c:pt>
                <c:pt idx="15">
                  <c:v>-8.8312194621780816E-4</c:v>
                </c:pt>
                <c:pt idx="16">
                  <c:v>-3.3716394280321601E-3</c:v>
                </c:pt>
                <c:pt idx="17">
                  <c:v>3.0687006028881185E-2</c:v>
                </c:pt>
                <c:pt idx="18">
                  <c:v>5.4689885069497766E-3</c:v>
                </c:pt>
                <c:pt idx="19">
                  <c:v>-1.8890615837946059E-2</c:v>
                </c:pt>
                <c:pt idx="20">
                  <c:v>-2.7989683091114536E-3</c:v>
                </c:pt>
                <c:pt idx="21">
                  <c:v>-7.6675953688076608E-3</c:v>
                </c:pt>
                <c:pt idx="22">
                  <c:v>-2.5501885058073336E-2</c:v>
                </c:pt>
                <c:pt idx="23">
                  <c:v>-6.5733628938480879E-2</c:v>
                </c:pt>
                <c:pt idx="24">
                  <c:v>3.8824659647198937E-3</c:v>
                </c:pt>
                <c:pt idx="25">
                  <c:v>-1.5518155999630209E-2</c:v>
                </c:pt>
                <c:pt idx="26">
                  <c:v>4.5570730983226525E-2</c:v>
                </c:pt>
                <c:pt idx="27">
                  <c:v>2.2174991842575251E-2</c:v>
                </c:pt>
                <c:pt idx="28">
                  <c:v>4.4137561243766943E-3</c:v>
                </c:pt>
                <c:pt idx="29">
                  <c:v>-2.6740808045883756E-2</c:v>
                </c:pt>
                <c:pt idx="30">
                  <c:v>-6.9992112776464957E-2</c:v>
                </c:pt>
                <c:pt idx="31">
                  <c:v>1.434743701933692E-2</c:v>
                </c:pt>
                <c:pt idx="32">
                  <c:v>1.7940100026544208E-2</c:v>
                </c:pt>
                <c:pt idx="33">
                  <c:v>-1.5787738172085505E-2</c:v>
                </c:pt>
                <c:pt idx="34">
                  <c:v>5.8346062435604897E-2</c:v>
                </c:pt>
                <c:pt idx="35">
                  <c:v>2.3751299751595959E-2</c:v>
                </c:pt>
              </c:numCache>
            </c:numRef>
          </c:val>
        </c:ser>
        <c:marker val="1"/>
        <c:axId val="169009152"/>
        <c:axId val="169010688"/>
      </c:lineChart>
      <c:dateAx>
        <c:axId val="169009152"/>
        <c:scaling>
          <c:orientation val="minMax"/>
        </c:scaling>
        <c:axPos val="b"/>
        <c:numFmt formatCode="dd/mm/yyyy" sourceLinked="1"/>
        <c:tickLblPos val="nextTo"/>
        <c:crossAx val="169010688"/>
        <c:crosses val="autoZero"/>
        <c:auto val="1"/>
        <c:lblOffset val="100"/>
        <c:baseTimeUnit val="months"/>
      </c:dateAx>
      <c:valAx>
        <c:axId val="169010688"/>
        <c:scaling>
          <c:orientation val="minMax"/>
        </c:scaling>
        <c:axPos val="l"/>
        <c:numFmt formatCode="0.00%" sourceLinked="1"/>
        <c:tickLblPos val="nextTo"/>
        <c:crossAx val="169009152"/>
        <c:crosses val="autoZero"/>
        <c:crossBetween val="between"/>
      </c:valAx>
    </c:plotArea>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mk-MK"/>
  <c:style val="25"/>
  <c:chart>
    <c:plotArea>
      <c:layout/>
      <c:areaChart>
        <c:grouping val="standard"/>
        <c:ser>
          <c:idx val="0"/>
          <c:order val="0"/>
          <c:cat>
            <c:numRef>
              <c:f>'KD NOVA EU'!$A$6:$A$42</c:f>
              <c:numCache>
                <c:formatCode>dd/mm/yyyy</c:formatCode>
                <c:ptCount val="37"/>
                <c:pt idx="0">
                  <c:v>40724</c:v>
                </c:pt>
                <c:pt idx="1">
                  <c:v>40755</c:v>
                </c:pt>
                <c:pt idx="2">
                  <c:v>40786</c:v>
                </c:pt>
                <c:pt idx="3">
                  <c:v>40816</c:v>
                </c:pt>
                <c:pt idx="4">
                  <c:v>40847</c:v>
                </c:pt>
                <c:pt idx="5">
                  <c:v>40877</c:v>
                </c:pt>
                <c:pt idx="6">
                  <c:v>40908</c:v>
                </c:pt>
                <c:pt idx="7">
                  <c:v>40939</c:v>
                </c:pt>
                <c:pt idx="8">
                  <c:v>40968</c:v>
                </c:pt>
                <c:pt idx="9">
                  <c:v>40999</c:v>
                </c:pt>
                <c:pt idx="10">
                  <c:v>41029</c:v>
                </c:pt>
                <c:pt idx="11">
                  <c:v>41060</c:v>
                </c:pt>
                <c:pt idx="12">
                  <c:v>41090</c:v>
                </c:pt>
                <c:pt idx="13">
                  <c:v>41121</c:v>
                </c:pt>
                <c:pt idx="14">
                  <c:v>41152</c:v>
                </c:pt>
                <c:pt idx="15">
                  <c:v>41182</c:v>
                </c:pt>
                <c:pt idx="16">
                  <c:v>41213</c:v>
                </c:pt>
                <c:pt idx="17">
                  <c:v>41243</c:v>
                </c:pt>
                <c:pt idx="18">
                  <c:v>41274</c:v>
                </c:pt>
                <c:pt idx="19">
                  <c:v>41305</c:v>
                </c:pt>
                <c:pt idx="20">
                  <c:v>41333</c:v>
                </c:pt>
                <c:pt idx="21">
                  <c:v>41364</c:v>
                </c:pt>
                <c:pt idx="22">
                  <c:v>41394</c:v>
                </c:pt>
                <c:pt idx="23">
                  <c:v>41425</c:v>
                </c:pt>
                <c:pt idx="24">
                  <c:v>41455</c:v>
                </c:pt>
                <c:pt idx="25">
                  <c:v>41486</c:v>
                </c:pt>
                <c:pt idx="26">
                  <c:v>41517</c:v>
                </c:pt>
                <c:pt idx="27">
                  <c:v>41547</c:v>
                </c:pt>
                <c:pt idx="28">
                  <c:v>41578</c:v>
                </c:pt>
                <c:pt idx="29">
                  <c:v>41608</c:v>
                </c:pt>
                <c:pt idx="30">
                  <c:v>41639</c:v>
                </c:pt>
                <c:pt idx="31">
                  <c:v>41670</c:v>
                </c:pt>
                <c:pt idx="32">
                  <c:v>41698</c:v>
                </c:pt>
                <c:pt idx="33">
                  <c:v>41729</c:v>
                </c:pt>
                <c:pt idx="34">
                  <c:v>41759</c:v>
                </c:pt>
                <c:pt idx="35">
                  <c:v>41790</c:v>
                </c:pt>
                <c:pt idx="36">
                  <c:v>41820</c:v>
                </c:pt>
              </c:numCache>
            </c:numRef>
          </c:cat>
          <c:val>
            <c:numRef>
              <c:f>'KD NOVA EU'!$E$7:$E$42</c:f>
              <c:numCache>
                <c:formatCode>0.00%</c:formatCode>
                <c:ptCount val="36"/>
                <c:pt idx="0">
                  <c:v>-3.9806402392109731E-2</c:v>
                </c:pt>
                <c:pt idx="1">
                  <c:v>-0.11927423574137128</c:v>
                </c:pt>
                <c:pt idx="2">
                  <c:v>-0.20623765920536224</c:v>
                </c:pt>
                <c:pt idx="3">
                  <c:v>-0.20991458833781798</c:v>
                </c:pt>
                <c:pt idx="4">
                  <c:v>-0.25926075906719376</c:v>
                </c:pt>
                <c:pt idx="5">
                  <c:v>-0.26101823400495416</c:v>
                </c:pt>
                <c:pt idx="6">
                  <c:v>-0.25355422984532605</c:v>
                </c:pt>
                <c:pt idx="7">
                  <c:v>-0.24964405058288314</c:v>
                </c:pt>
                <c:pt idx="8">
                  <c:v>-0.25197088260877332</c:v>
                </c:pt>
                <c:pt idx="9">
                  <c:v>-0.27101640363935114</c:v>
                </c:pt>
                <c:pt idx="10">
                  <c:v>-0.30305023138736986</c:v>
                </c:pt>
                <c:pt idx="11">
                  <c:v>-0.31104957699117047</c:v>
                </c:pt>
                <c:pt idx="12">
                  <c:v>-0.31788672142645596</c:v>
                </c:pt>
                <c:pt idx="13">
                  <c:v>-0.31952190202522762</c:v>
                </c:pt>
                <c:pt idx="14">
                  <c:v>-0.2960008941254994</c:v>
                </c:pt>
                <c:pt idx="15">
                  <c:v>-0.30260073894937106</c:v>
                </c:pt>
                <c:pt idx="16">
                  <c:v>-0.30058814668193595</c:v>
                </c:pt>
                <c:pt idx="17">
                  <c:v>-0.27134441163464801</c:v>
                </c:pt>
                <c:pt idx="18">
                  <c:v>-0.24498147767196982</c:v>
                </c:pt>
                <c:pt idx="19">
                  <c:v>-0.24724675758022535</c:v>
                </c:pt>
                <c:pt idx="20">
                  <c:v>-0.24908846173159144</c:v>
                </c:pt>
                <c:pt idx="21">
                  <c:v>-0.24446557373862698</c:v>
                </c:pt>
                <c:pt idx="22">
                  <c:v>-0.26081899951892251</c:v>
                </c:pt>
                <c:pt idx="23">
                  <c:v>-0.2700874526008199</c:v>
                </c:pt>
                <c:pt idx="24">
                  <c:v>-0.26129197894917577</c:v>
                </c:pt>
                <c:pt idx="25">
                  <c:v>-0.26279595634982983</c:v>
                </c:pt>
                <c:pt idx="26">
                  <c:v>-0.26656359386616957</c:v>
                </c:pt>
                <c:pt idx="27">
                  <c:v>-0.25428961567181707</c:v>
                </c:pt>
                <c:pt idx="28">
                  <c:v>-0.24973718865562164</c:v>
                </c:pt>
                <c:pt idx="29">
                  <c:v>-0.24935491760925088</c:v>
                </c:pt>
                <c:pt idx="30">
                  <c:v>-0.22481425028710841</c:v>
                </c:pt>
                <c:pt idx="31">
                  <c:v>-0.20496612203841191</c:v>
                </c:pt>
                <c:pt idx="32">
                  <c:v>-0.19940861373292593</c:v>
                </c:pt>
                <c:pt idx="33">
                  <c:v>-0.17374381036764441</c:v>
                </c:pt>
                <c:pt idx="34">
                  <c:v>-0.12741774288384641</c:v>
                </c:pt>
                <c:pt idx="35">
                  <c:v>-0.12766071176925087</c:v>
                </c:pt>
              </c:numCache>
            </c:numRef>
          </c:val>
        </c:ser>
        <c:axId val="76994432"/>
        <c:axId val="76995968"/>
      </c:areaChart>
      <c:lineChart>
        <c:grouping val="standard"/>
        <c:ser>
          <c:idx val="1"/>
          <c:order val="1"/>
          <c:marker>
            <c:symbol val="none"/>
          </c:marker>
          <c:val>
            <c:numRef>
              <c:f>'KD NOVA EU'!$C$7:$C$42</c:f>
              <c:numCache>
                <c:formatCode>0.00%</c:formatCode>
                <c:ptCount val="36"/>
                <c:pt idx="0">
                  <c:v>-4.0620350676855578E-2</c:v>
                </c:pt>
                <c:pt idx="1">
                  <c:v>-8.6388628625604952E-2</c:v>
                </c:pt>
                <c:pt idx="2">
                  <c:v>-0.10396220213582399</c:v>
                </c:pt>
                <c:pt idx="3">
                  <c:v>-4.6430418988226878E-3</c:v>
                </c:pt>
                <c:pt idx="4">
                  <c:v>-6.4492393855992716E-2</c:v>
                </c:pt>
                <c:pt idx="5">
                  <c:v>-2.3754150355704087E-3</c:v>
                </c:pt>
                <c:pt idx="6">
                  <c:v>1.004972211432756E-2</c:v>
                </c:pt>
                <c:pt idx="7">
                  <c:v>5.2247242987947737E-3</c:v>
                </c:pt>
                <c:pt idx="8">
                  <c:v>-3.1057889561291498E-3</c:v>
                </c:pt>
                <c:pt idx="9">
                  <c:v>-2.5790674017860372E-2</c:v>
                </c:pt>
                <c:pt idx="10">
                  <c:v>-4.4937890016714721E-2</c:v>
                </c:pt>
                <c:pt idx="11">
                  <c:v>-1.1544026745553507E-2</c:v>
                </c:pt>
                <c:pt idx="12">
                  <c:v>-9.9735717643814233E-3</c:v>
                </c:pt>
                <c:pt idx="13">
                  <c:v>-2.4001052874270249E-3</c:v>
                </c:pt>
                <c:pt idx="14">
                  <c:v>3.3981449714084205E-2</c:v>
                </c:pt>
                <c:pt idx="15">
                  <c:v>-9.4190114291491708E-3</c:v>
                </c:pt>
                <c:pt idx="16">
                  <c:v>2.8816976604425218E-3</c:v>
                </c:pt>
                <c:pt idx="17">
                  <c:v>4.0961404104681513E-2</c:v>
                </c:pt>
                <c:pt idx="18">
                  <c:v>3.5541105404325091E-2</c:v>
                </c:pt>
                <c:pt idx="19">
                  <c:v>-3.0048070478924118E-3</c:v>
                </c:pt>
                <c:pt idx="20">
                  <c:v>-2.4496218784546614E-3</c:v>
                </c:pt>
                <c:pt idx="21">
                  <c:v>6.1374952880833573E-3</c:v>
                </c:pt>
                <c:pt idx="22">
                  <c:v>-2.1882531009885946E-2</c:v>
                </c:pt>
                <c:pt idx="23">
                  <c:v>-1.2618088301999298E-2</c:v>
                </c:pt>
                <c:pt idx="24">
                  <c:v>1.197801392630353E-2</c:v>
                </c:pt>
                <c:pt idx="25">
                  <c:v>-2.0380318817058282E-3</c:v>
                </c:pt>
                <c:pt idx="26">
                  <c:v>-5.1238163069612618E-3</c:v>
                </c:pt>
                <c:pt idx="27">
                  <c:v>1.6596405443474741E-2</c:v>
                </c:pt>
                <c:pt idx="28">
                  <c:v>6.0862602112843091E-3</c:v>
                </c:pt>
                <c:pt idx="29">
                  <c:v>5.0938642701705292E-4</c:v>
                </c:pt>
                <c:pt idx="30">
                  <c:v>3.2169730982113856E-2</c:v>
                </c:pt>
                <c:pt idx="31">
                  <c:v>2.5282049850267295E-2</c:v>
                </c:pt>
                <c:pt idx="32">
                  <c:v>6.9659598692081576E-3</c:v>
                </c:pt>
                <c:pt idx="33">
                  <c:v>3.1554194968395684E-2</c:v>
                </c:pt>
                <c:pt idx="34">
                  <c:v>5.4552044757607394E-2</c:v>
                </c:pt>
                <c:pt idx="35">
                  <c:v>-2.7848688970888782E-4</c:v>
                </c:pt>
              </c:numCache>
            </c:numRef>
          </c:val>
        </c:ser>
        <c:marker val="1"/>
        <c:axId val="76994432"/>
        <c:axId val="76995968"/>
      </c:lineChart>
      <c:dateAx>
        <c:axId val="76994432"/>
        <c:scaling>
          <c:orientation val="minMax"/>
        </c:scaling>
        <c:axPos val="b"/>
        <c:numFmt formatCode="dd/mm/yyyy" sourceLinked="1"/>
        <c:tickLblPos val="nextTo"/>
        <c:crossAx val="76995968"/>
        <c:crosses val="autoZero"/>
        <c:auto val="1"/>
        <c:lblOffset val="100"/>
        <c:baseTimeUnit val="months"/>
      </c:dateAx>
      <c:valAx>
        <c:axId val="76995968"/>
        <c:scaling>
          <c:orientation val="minMax"/>
        </c:scaling>
        <c:axPos val="l"/>
        <c:numFmt formatCode="0.00%" sourceLinked="1"/>
        <c:tickLblPos val="nextTo"/>
        <c:crossAx val="76994432"/>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D6AA2-3E44-4455-9A1A-22C2E3BB1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3516</Words>
  <Characters>20047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Prof</vt:lpstr>
    </vt:vector>
  </TitlesOfParts>
  <Company>efst</Company>
  <LinksUpToDate>false</LinksUpToDate>
  <CharactersWithSpaces>23516</CharactersWithSpaces>
  <SharedDoc>false</SharedDoc>
  <HLinks>
    <vt:vector size="6" baseType="variant">
      <vt:variant>
        <vt:i4>3145847</vt:i4>
      </vt:variant>
      <vt:variant>
        <vt:i4>6</vt:i4>
      </vt:variant>
      <vt:variant>
        <vt:i4>0</vt:i4>
      </vt:variant>
      <vt:variant>
        <vt:i4>5</vt:i4>
      </vt:variant>
      <vt:variant>
        <vt:lpwstr>http://www.nber.org/cycles.html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djelatnik</dc:creator>
  <cp:lastModifiedBy>vasko.bogdanovski</cp:lastModifiedBy>
  <cp:revision>2</cp:revision>
  <cp:lastPrinted>2014-09-18T08:11:00Z</cp:lastPrinted>
  <dcterms:created xsi:type="dcterms:W3CDTF">2014-09-30T13:53:00Z</dcterms:created>
  <dcterms:modified xsi:type="dcterms:W3CDTF">2014-09-30T13:53:00Z</dcterms:modified>
</cp:coreProperties>
</file>