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9B" w:rsidRPr="001D77EC" w:rsidRDefault="00AA28DF" w:rsidP="00AA28DF">
      <w:pPr>
        <w:jc w:val="center"/>
        <w:rPr>
          <w:b/>
          <w:bCs/>
        </w:rPr>
      </w:pPr>
      <w:r w:rsidRPr="001D77EC">
        <w:rPr>
          <w:b/>
          <w:bCs/>
          <w:sz w:val="28"/>
          <w:szCs w:val="28"/>
        </w:rPr>
        <w:t>Asset allocation and regime switching on Croatian financial market</w:t>
      </w:r>
    </w:p>
    <w:p w:rsidR="00C81192" w:rsidRPr="00E754F2" w:rsidRDefault="00C81192" w:rsidP="00C81192">
      <w:pPr>
        <w:rPr>
          <w:b/>
          <w:bCs/>
          <w:sz w:val="20"/>
        </w:rPr>
      </w:pPr>
    </w:p>
    <w:p w:rsidR="00AA28DF" w:rsidRPr="001D77EC" w:rsidRDefault="00AA28DF" w:rsidP="00AA28DF">
      <w:pPr>
        <w:pStyle w:val="Naslov1"/>
        <w:rPr>
          <w:lang w:val="en-US"/>
        </w:rPr>
      </w:pPr>
      <w:r w:rsidRPr="001D77EC">
        <w:rPr>
          <w:lang w:val="en-US"/>
        </w:rPr>
        <w:t>Tihana Škrinjarić</w:t>
      </w:r>
      <w:r w:rsidRPr="001D77EC">
        <w:rPr>
          <w:rStyle w:val="Referencafusnote"/>
          <w:lang w:val="en-US"/>
        </w:rPr>
        <w:footnoteReference w:id="1"/>
      </w:r>
    </w:p>
    <w:p w:rsidR="00AA28DF" w:rsidRPr="001D77EC" w:rsidRDefault="00AA28DF" w:rsidP="00AA28DF">
      <w:pPr>
        <w:pStyle w:val="Naslov1"/>
        <w:rPr>
          <w:lang w:val="en-US"/>
        </w:rPr>
      </w:pPr>
      <w:proofErr w:type="spellStart"/>
      <w:r w:rsidRPr="001D77EC">
        <w:rPr>
          <w:lang w:val="en-US"/>
        </w:rPr>
        <w:t>Boško</w:t>
      </w:r>
      <w:proofErr w:type="spellEnd"/>
      <w:r w:rsidRPr="001D77EC">
        <w:rPr>
          <w:lang w:val="en-US"/>
        </w:rPr>
        <w:t xml:space="preserve"> </w:t>
      </w:r>
      <w:proofErr w:type="spellStart"/>
      <w:r w:rsidRPr="001D77EC">
        <w:rPr>
          <w:lang w:val="en-US"/>
        </w:rPr>
        <w:t>Šego</w:t>
      </w:r>
      <w:proofErr w:type="spellEnd"/>
    </w:p>
    <w:p w:rsidR="00AA28DF" w:rsidRPr="001D77EC" w:rsidRDefault="00AA28DF" w:rsidP="00AA28DF">
      <w:pPr>
        <w:jc w:val="center"/>
      </w:pPr>
      <w:r w:rsidRPr="001D77EC">
        <w:t>Department of Mathematics, Faculty of Economics and Business</w:t>
      </w:r>
    </w:p>
    <w:p w:rsidR="00AA28DF" w:rsidRPr="001D77EC" w:rsidRDefault="00AA28DF" w:rsidP="00AA28DF">
      <w:pPr>
        <w:jc w:val="center"/>
      </w:pPr>
      <w:r w:rsidRPr="001D77EC">
        <w:t>University of Zagreb</w:t>
      </w:r>
    </w:p>
    <w:p w:rsidR="00AA28DF" w:rsidRPr="001D77EC" w:rsidRDefault="00AA28DF" w:rsidP="00AA28DF">
      <w:pPr>
        <w:jc w:val="center"/>
        <w:rPr>
          <w:caps/>
        </w:rPr>
      </w:pPr>
      <w:r w:rsidRPr="001D77EC">
        <w:t>Trg J. F. Kennedyja 6, 10000 Zagreb, Croatia</w:t>
      </w:r>
    </w:p>
    <w:p w:rsidR="00AA28DF" w:rsidRPr="001D77EC" w:rsidRDefault="00AA28DF" w:rsidP="00AA28DF">
      <w:pPr>
        <w:jc w:val="center"/>
      </w:pPr>
      <w:r w:rsidRPr="001D77EC">
        <w:t>E-mail:</w:t>
      </w:r>
      <w:r w:rsidR="00D43CAC">
        <w:t xml:space="preserve"> </w:t>
      </w:r>
      <w:r w:rsidR="00D43CAC" w:rsidRPr="001D77EC">
        <w:t xml:space="preserve">E-mail: </w:t>
      </w:r>
      <w:hyperlink r:id="rId8" w:history="1">
        <w:r w:rsidR="00D43CAC" w:rsidRPr="001D77EC">
          <w:rPr>
            <w:rStyle w:val="Hiperveza"/>
          </w:rPr>
          <w:t>tskrinjaric@efzg.hr</w:t>
        </w:r>
      </w:hyperlink>
      <w:r w:rsidR="00D43CAC">
        <w:t>,</w:t>
      </w:r>
      <w:r w:rsidRPr="001D77EC">
        <w:t xml:space="preserve"> </w:t>
      </w:r>
      <w:hyperlink r:id="rId9" w:history="1">
        <w:r w:rsidRPr="001D77EC">
          <w:rPr>
            <w:rStyle w:val="Hiperveza"/>
          </w:rPr>
          <w:t>bsego@efzg.hr</w:t>
        </w:r>
      </w:hyperlink>
      <w:r w:rsidRPr="001D77EC">
        <w:t xml:space="preserve"> </w:t>
      </w:r>
    </w:p>
    <w:p w:rsidR="00AA28DF" w:rsidRPr="001D77EC" w:rsidRDefault="00AA28DF" w:rsidP="00AA28DF">
      <w:pPr>
        <w:jc w:val="center"/>
        <w:rPr>
          <w:b/>
          <w:bCs/>
        </w:rPr>
      </w:pPr>
    </w:p>
    <w:p w:rsidR="00AA28DF" w:rsidRPr="001D77EC" w:rsidRDefault="00AA28DF" w:rsidP="00AA28DF">
      <w:pPr>
        <w:rPr>
          <w:b/>
          <w:bCs/>
        </w:rPr>
      </w:pPr>
      <w:r w:rsidRPr="001D77EC">
        <w:rPr>
          <w:b/>
          <w:bCs/>
        </w:rPr>
        <w:t>Abstract</w:t>
      </w:r>
    </w:p>
    <w:p w:rsidR="00AA28DF" w:rsidRPr="001D77EC" w:rsidRDefault="00AA28DF" w:rsidP="00AA28DF">
      <w:pPr>
        <w:spacing w:before="120" w:line="360" w:lineRule="auto"/>
        <w:jc w:val="both"/>
        <w:rPr>
          <w:sz w:val="22"/>
          <w:szCs w:val="22"/>
        </w:rPr>
      </w:pPr>
      <w:r w:rsidRPr="001D77EC">
        <w:rPr>
          <w:sz w:val="22"/>
          <w:szCs w:val="22"/>
        </w:rPr>
        <w:t xml:space="preserve">It has been known for quite some time now that financial markets exhibit changes in regimes over time. Majority of the literature agrees that financial markets go through regimes of bull and bear markets. Therefore, this characteristic should be modeled in a proper way. Investors are always interested in beating the market: either by achieving better returns than others, or by minimizing their portfolio risks. There exist many </w:t>
      </w:r>
      <w:r w:rsidRPr="005A3039">
        <w:rPr>
          <w:sz w:val="22"/>
          <w:szCs w:val="22"/>
        </w:rPr>
        <w:t>mathematical and statistical models which are used as tools to achieve mentioned goals. Introducing the regime switching methodology in existing models has been found to be helpful to achieve those goals. This is why this study is going to utilize regime switching methodology on Croatian financial markets in order to find out whether it can be useful for Croatian investors. By using daily data from January 2</w:t>
      </w:r>
      <w:r w:rsidRPr="005A3039">
        <w:rPr>
          <w:sz w:val="22"/>
          <w:szCs w:val="22"/>
          <w:vertAlign w:val="superscript"/>
        </w:rPr>
        <w:t>nd</w:t>
      </w:r>
      <w:r w:rsidRPr="005A3039">
        <w:rPr>
          <w:sz w:val="22"/>
          <w:szCs w:val="22"/>
        </w:rPr>
        <w:t xml:space="preserve"> 2007 to December 31</w:t>
      </w:r>
      <w:r w:rsidRPr="005A3039">
        <w:rPr>
          <w:sz w:val="22"/>
          <w:szCs w:val="22"/>
          <w:vertAlign w:val="superscript"/>
        </w:rPr>
        <w:t>st</w:t>
      </w:r>
      <w:r w:rsidRPr="005A3039">
        <w:rPr>
          <w:sz w:val="22"/>
          <w:szCs w:val="22"/>
        </w:rPr>
        <w:t xml:space="preserve"> 2015 </w:t>
      </w:r>
      <w:r w:rsidR="005A3039" w:rsidRPr="005A3039">
        <w:rPr>
          <w:sz w:val="22"/>
          <w:szCs w:val="22"/>
        </w:rPr>
        <w:t>multivariate regime switching and non switching models have been estimated</w:t>
      </w:r>
      <w:r w:rsidRPr="005A3039">
        <w:rPr>
          <w:sz w:val="22"/>
          <w:szCs w:val="22"/>
        </w:rPr>
        <w:t xml:space="preserve">. It is assumed that investor is interested in the stock and bond market. The results from MGARCH and regime switching MGARCH models </w:t>
      </w:r>
      <w:r w:rsidR="005A3039" w:rsidRPr="005A3039">
        <w:rPr>
          <w:sz w:val="22"/>
          <w:szCs w:val="22"/>
        </w:rPr>
        <w:t>are</w:t>
      </w:r>
      <w:r w:rsidRPr="005A3039">
        <w:rPr>
          <w:sz w:val="22"/>
          <w:szCs w:val="22"/>
        </w:rPr>
        <w:t xml:space="preserve"> compared in order to give answers whether </w:t>
      </w:r>
      <w:r w:rsidR="006410AE" w:rsidRPr="005A3039">
        <w:rPr>
          <w:sz w:val="22"/>
          <w:szCs w:val="22"/>
        </w:rPr>
        <w:t>it is</w:t>
      </w:r>
      <w:r w:rsidRPr="005A3039">
        <w:rPr>
          <w:sz w:val="22"/>
          <w:szCs w:val="22"/>
        </w:rPr>
        <w:t xml:space="preserve"> useful to apply such methodology to the Croatian market and how investors </w:t>
      </w:r>
      <w:r w:rsidR="006410AE" w:rsidRPr="005A3039">
        <w:rPr>
          <w:sz w:val="22"/>
          <w:szCs w:val="22"/>
        </w:rPr>
        <w:t xml:space="preserve">can </w:t>
      </w:r>
      <w:r w:rsidRPr="005A3039">
        <w:rPr>
          <w:sz w:val="22"/>
          <w:szCs w:val="22"/>
        </w:rPr>
        <w:t xml:space="preserve">benefit from it. </w:t>
      </w:r>
      <w:r w:rsidR="005A3039" w:rsidRPr="005A3039">
        <w:rPr>
          <w:sz w:val="22"/>
          <w:szCs w:val="22"/>
        </w:rPr>
        <w:t xml:space="preserve">The majority of the results suggest incorporating this methodology into financial modeling in Croatia. </w:t>
      </w:r>
      <w:r w:rsidRPr="005A3039">
        <w:rPr>
          <w:sz w:val="22"/>
          <w:szCs w:val="22"/>
        </w:rPr>
        <w:t>This is a first research applying regime switching MGARCH methodology in Croatia (and the</w:t>
      </w:r>
      <w:r w:rsidRPr="001D77EC">
        <w:rPr>
          <w:sz w:val="22"/>
          <w:szCs w:val="22"/>
        </w:rPr>
        <w:t xml:space="preserve"> Balkan region as well) so we hope to contribute to the existing literature.</w:t>
      </w:r>
    </w:p>
    <w:p w:rsidR="00AA28DF" w:rsidRPr="00E754F2" w:rsidRDefault="00AA28DF" w:rsidP="00AA28DF">
      <w:pPr>
        <w:jc w:val="center"/>
        <w:rPr>
          <w:b/>
          <w:bCs/>
          <w:sz w:val="22"/>
        </w:rPr>
      </w:pPr>
    </w:p>
    <w:p w:rsidR="00AA28DF" w:rsidRPr="001D77EC" w:rsidRDefault="00AA28DF" w:rsidP="00AA28DF">
      <w:pPr>
        <w:pStyle w:val="Naslov1"/>
        <w:jc w:val="left"/>
        <w:rPr>
          <w:b w:val="0"/>
          <w:i/>
          <w:iCs/>
          <w:lang w:val="en-US"/>
        </w:rPr>
      </w:pPr>
      <w:r w:rsidRPr="001D77EC">
        <w:rPr>
          <w:lang w:val="en-US"/>
        </w:rPr>
        <w:t xml:space="preserve">Keywords: </w:t>
      </w:r>
      <w:r w:rsidRPr="001D77EC">
        <w:rPr>
          <w:lang w:val="en-US"/>
        </w:rPr>
        <w:tab/>
      </w:r>
      <w:r w:rsidRPr="001D77EC">
        <w:rPr>
          <w:b w:val="0"/>
          <w:i/>
          <w:iCs/>
          <w:lang w:val="en-US"/>
        </w:rPr>
        <w:t>MGARCH, regime switching, portfolio, Croatian financial market,</w:t>
      </w:r>
      <w:r w:rsidRPr="001D77EC">
        <w:rPr>
          <w:i/>
          <w:iCs/>
          <w:lang w:val="en-US"/>
        </w:rPr>
        <w:t xml:space="preserve"> </w:t>
      </w:r>
      <w:r w:rsidRPr="001D77EC">
        <w:rPr>
          <w:b w:val="0"/>
          <w:i/>
          <w:iCs/>
          <w:lang w:val="en-US"/>
        </w:rPr>
        <w:t>nonlinear models</w:t>
      </w:r>
    </w:p>
    <w:p w:rsidR="001760F5" w:rsidRPr="00E754F2" w:rsidRDefault="001760F5" w:rsidP="00C956C2">
      <w:pPr>
        <w:jc w:val="both"/>
        <w:rPr>
          <w:i/>
          <w:iCs/>
          <w:sz w:val="20"/>
        </w:rPr>
      </w:pPr>
    </w:p>
    <w:p w:rsidR="001760F5" w:rsidRPr="001D77EC" w:rsidRDefault="001760F5" w:rsidP="001760F5">
      <w:pPr>
        <w:jc w:val="center"/>
        <w:rPr>
          <w:iCs/>
        </w:rPr>
      </w:pPr>
      <w:r w:rsidRPr="001D77EC">
        <w:rPr>
          <w:iCs/>
        </w:rPr>
        <w:t xml:space="preserve">Received: xx </w:t>
      </w:r>
      <w:proofErr w:type="spellStart"/>
      <w:r w:rsidRPr="001D77EC">
        <w:rPr>
          <w:iCs/>
        </w:rPr>
        <w:t>xx</w:t>
      </w:r>
      <w:proofErr w:type="spellEnd"/>
      <w:r w:rsidRPr="001D77EC">
        <w:rPr>
          <w:iCs/>
        </w:rPr>
        <w:t xml:space="preserve">, 201x; accepted: </w:t>
      </w:r>
      <w:proofErr w:type="spellStart"/>
      <w:r w:rsidRPr="001D77EC">
        <w:rPr>
          <w:iCs/>
        </w:rPr>
        <w:t>yy</w:t>
      </w:r>
      <w:proofErr w:type="spellEnd"/>
      <w:r w:rsidRPr="001D77EC">
        <w:rPr>
          <w:iCs/>
        </w:rPr>
        <w:t xml:space="preserve"> </w:t>
      </w:r>
      <w:proofErr w:type="spellStart"/>
      <w:r w:rsidRPr="001D77EC">
        <w:rPr>
          <w:iCs/>
        </w:rPr>
        <w:t>yy</w:t>
      </w:r>
      <w:proofErr w:type="spellEnd"/>
      <w:r w:rsidRPr="001D77EC">
        <w:rPr>
          <w:iCs/>
        </w:rPr>
        <w:t xml:space="preserve"> 201x; available online: </w:t>
      </w:r>
      <w:proofErr w:type="spellStart"/>
      <w:r w:rsidRPr="001D77EC">
        <w:rPr>
          <w:iCs/>
        </w:rPr>
        <w:t>zz</w:t>
      </w:r>
      <w:proofErr w:type="spellEnd"/>
      <w:r w:rsidRPr="001D77EC">
        <w:rPr>
          <w:iCs/>
        </w:rPr>
        <w:t xml:space="preserve"> </w:t>
      </w:r>
      <w:proofErr w:type="spellStart"/>
      <w:r w:rsidRPr="001D77EC">
        <w:rPr>
          <w:iCs/>
        </w:rPr>
        <w:t>zz</w:t>
      </w:r>
      <w:proofErr w:type="spellEnd"/>
      <w:r w:rsidRPr="001D77EC">
        <w:rPr>
          <w:iCs/>
        </w:rPr>
        <w:t>; 201x</w:t>
      </w:r>
    </w:p>
    <w:p w:rsidR="00CE6038" w:rsidRPr="001D77EC" w:rsidRDefault="00CE6038" w:rsidP="00C956C2">
      <w:pPr>
        <w:pBdr>
          <w:bottom w:val="single" w:sz="6" w:space="1" w:color="auto"/>
        </w:pBdr>
        <w:jc w:val="both"/>
        <w:rPr>
          <w:b/>
          <w:bCs/>
        </w:rPr>
      </w:pPr>
    </w:p>
    <w:p w:rsidR="008F3905" w:rsidRPr="001D77EC" w:rsidRDefault="008F3905">
      <w:pPr>
        <w:jc w:val="both"/>
      </w:pPr>
    </w:p>
    <w:p w:rsidR="00D65E8F" w:rsidRPr="001D77EC" w:rsidRDefault="00CE6038">
      <w:pPr>
        <w:jc w:val="both"/>
        <w:rPr>
          <w:b/>
          <w:bCs/>
          <w:sz w:val="28"/>
          <w:szCs w:val="28"/>
        </w:rPr>
      </w:pPr>
      <w:r w:rsidRPr="001D77EC">
        <w:rPr>
          <w:b/>
          <w:bCs/>
          <w:sz w:val="28"/>
          <w:szCs w:val="28"/>
        </w:rPr>
        <w:t>1.</w:t>
      </w:r>
      <w:r w:rsidR="006D6858" w:rsidRPr="001D77EC">
        <w:rPr>
          <w:b/>
          <w:bCs/>
          <w:sz w:val="28"/>
          <w:szCs w:val="28"/>
        </w:rPr>
        <w:t xml:space="preserve"> </w:t>
      </w:r>
      <w:r w:rsidR="00C956C2" w:rsidRPr="001D77EC">
        <w:rPr>
          <w:b/>
          <w:bCs/>
          <w:sz w:val="28"/>
          <w:szCs w:val="28"/>
        </w:rPr>
        <w:t>Introduction</w:t>
      </w:r>
    </w:p>
    <w:p w:rsidR="00D65E8F" w:rsidRPr="00953E14" w:rsidRDefault="00D65E8F">
      <w:pPr>
        <w:jc w:val="both"/>
        <w:rPr>
          <w:b/>
          <w:bCs/>
          <w:sz w:val="18"/>
        </w:rPr>
      </w:pPr>
    </w:p>
    <w:p w:rsidR="006D6858" w:rsidRPr="001D77EC" w:rsidRDefault="00960481" w:rsidP="00960481">
      <w:pPr>
        <w:autoSpaceDE w:val="0"/>
        <w:autoSpaceDN w:val="0"/>
        <w:adjustRightInd w:val="0"/>
        <w:jc w:val="both"/>
        <w:rPr>
          <w:sz w:val="22"/>
          <w:szCs w:val="22"/>
          <w:lang w:eastAsia="hr-HR"/>
        </w:rPr>
      </w:pPr>
      <w:r w:rsidRPr="001D77EC">
        <w:rPr>
          <w:lang w:eastAsia="hr-HR"/>
        </w:rPr>
        <w:t xml:space="preserve">Investors’ questions regarding risks, returns and portfolio management </w:t>
      </w:r>
      <w:r w:rsidR="00487E0F" w:rsidRPr="001D77EC">
        <w:rPr>
          <w:lang w:eastAsia="hr-HR"/>
        </w:rPr>
        <w:t xml:space="preserve">on financial markets </w:t>
      </w:r>
      <w:r w:rsidRPr="001D77EC">
        <w:rPr>
          <w:lang w:eastAsia="hr-HR"/>
        </w:rPr>
        <w:t xml:space="preserve">have been known for </w:t>
      </w:r>
      <w:r w:rsidR="00487E0F" w:rsidRPr="001D77EC">
        <w:rPr>
          <w:lang w:eastAsia="hr-HR"/>
        </w:rPr>
        <w:t xml:space="preserve">quite </w:t>
      </w:r>
      <w:r w:rsidRPr="001D77EC">
        <w:rPr>
          <w:lang w:eastAsia="hr-HR"/>
        </w:rPr>
        <w:t>some time now. Many different mathematical, statistical and econometric models and methods have been developed (and are still developing) in order to answer some of those questions. In the last 30 years there has been an explosion of research in the field of time series analysis, especially in the field of financial econometrics. Some of the reasons include the enhancement of software support</w:t>
      </w:r>
      <w:r w:rsidR="0055258F" w:rsidRPr="001D77EC">
        <w:rPr>
          <w:lang w:eastAsia="hr-HR"/>
        </w:rPr>
        <w:t>;</w:t>
      </w:r>
      <w:r w:rsidRPr="001D77EC">
        <w:rPr>
          <w:lang w:eastAsia="hr-HR"/>
        </w:rPr>
        <w:t xml:space="preserve"> time series have extended</w:t>
      </w:r>
      <w:r w:rsidR="00516EAB" w:rsidRPr="001D77EC">
        <w:rPr>
          <w:lang w:eastAsia="hr-HR"/>
        </w:rPr>
        <w:t>. Furthermore,</w:t>
      </w:r>
      <w:r w:rsidRPr="001D77EC">
        <w:rPr>
          <w:lang w:eastAsia="hr-HR"/>
        </w:rPr>
        <w:t xml:space="preserve"> many different financial assets have been </w:t>
      </w:r>
      <w:r w:rsidR="00516EAB" w:rsidRPr="001D77EC">
        <w:rPr>
          <w:lang w:eastAsia="hr-HR"/>
        </w:rPr>
        <w:t>developed;</w:t>
      </w:r>
      <w:r w:rsidRPr="001D77EC">
        <w:rPr>
          <w:lang w:eastAsia="hr-HR"/>
        </w:rPr>
        <w:t xml:space="preserve"> investors’ interests in </w:t>
      </w:r>
      <w:r w:rsidRPr="001D77EC">
        <w:rPr>
          <w:lang w:eastAsia="hr-HR"/>
        </w:rPr>
        <w:lastRenderedPageBreak/>
        <w:t xml:space="preserve">portfolio management have been deepened, etc. Initial models in finance and quantitative fields have been very simple with assumptions such as linearity of the relationship between variables. However, </w:t>
      </w:r>
      <w:r w:rsidR="00487E0F" w:rsidRPr="001D77EC">
        <w:rPr>
          <w:lang w:eastAsia="hr-HR"/>
        </w:rPr>
        <w:t>practice has noticed that</w:t>
      </w:r>
      <w:r w:rsidR="00EC7BD9" w:rsidRPr="001D77EC">
        <w:rPr>
          <w:lang w:eastAsia="hr-HR"/>
        </w:rPr>
        <w:t xml:space="preserve"> relationships between economic and financial variables are not linear. That is why empirical estimations based upon wrong assumptions result with </w:t>
      </w:r>
      <w:r w:rsidR="005306BA" w:rsidRPr="001D77EC">
        <w:rPr>
          <w:lang w:eastAsia="hr-HR"/>
        </w:rPr>
        <w:t xml:space="preserve">distorted outcomes. Portfolio management seeks to have </w:t>
      </w:r>
      <w:r w:rsidR="001640AC" w:rsidRPr="001D77EC">
        <w:rPr>
          <w:lang w:eastAsia="hr-HR"/>
        </w:rPr>
        <w:t>valid estimations and forecasts in order to make quality decisions. Poor decisions, on the other hand, can affect not only individual portfolios (capital loss) but can affect whole markets.</w:t>
      </w:r>
    </w:p>
    <w:p w:rsidR="00DB14B3" w:rsidRPr="001D77EC" w:rsidRDefault="001640AC" w:rsidP="001640AC">
      <w:pPr>
        <w:autoSpaceDE w:val="0"/>
        <w:autoSpaceDN w:val="0"/>
        <w:adjustRightInd w:val="0"/>
        <w:jc w:val="both"/>
        <w:rPr>
          <w:lang w:eastAsia="hr-HR"/>
        </w:rPr>
      </w:pPr>
      <w:r w:rsidRPr="001D77EC">
        <w:rPr>
          <w:lang w:eastAsia="hr-HR"/>
        </w:rPr>
        <w:t xml:space="preserve">Thus, the </w:t>
      </w:r>
      <w:r w:rsidR="00F236FE" w:rsidRPr="001D77EC">
        <w:rPr>
          <w:lang w:eastAsia="hr-HR"/>
        </w:rPr>
        <w:t>problem which economic theory and practice face</w:t>
      </w:r>
      <w:r w:rsidR="00077CF1" w:rsidRPr="001D77EC">
        <w:rPr>
          <w:lang w:eastAsia="hr-HR"/>
        </w:rPr>
        <w:t xml:space="preserve"> today</w:t>
      </w:r>
      <w:r w:rsidR="00F236FE" w:rsidRPr="001D77EC">
        <w:rPr>
          <w:lang w:eastAsia="hr-HR"/>
        </w:rPr>
        <w:t xml:space="preserve"> is the inability of linear models to successfully capture the reality. Some of the problems include: structural ch</w:t>
      </w:r>
      <w:r w:rsidR="00C57448">
        <w:rPr>
          <w:lang w:eastAsia="hr-HR"/>
        </w:rPr>
        <w:t>anges such as oil price shocks [21]</w:t>
      </w:r>
      <w:r w:rsidR="00F236FE" w:rsidRPr="001D77EC">
        <w:rPr>
          <w:lang w:eastAsia="hr-HR"/>
        </w:rPr>
        <w:t xml:space="preserve">, sticky prices and exchange rate bands </w:t>
      </w:r>
      <w:r w:rsidR="006A4142">
        <w:rPr>
          <w:lang w:eastAsia="hr-HR"/>
        </w:rPr>
        <w:t>[34]</w:t>
      </w:r>
      <w:r w:rsidR="00F236FE" w:rsidRPr="001D77EC">
        <w:t xml:space="preserve">, </w:t>
      </w:r>
      <w:r w:rsidR="00867DCF" w:rsidRPr="001D77EC">
        <w:t xml:space="preserve">output and unemployment asymmetry behavior over time </w:t>
      </w:r>
      <w:r w:rsidR="00486896">
        <w:t>[16]</w:t>
      </w:r>
      <w:r w:rsidR="00867DCF" w:rsidRPr="001D77EC">
        <w:t xml:space="preserve">, </w:t>
      </w:r>
      <w:r w:rsidR="00077CF1" w:rsidRPr="001D77EC">
        <w:t>specific characteristics of financial markets and time series</w:t>
      </w:r>
      <w:r w:rsidR="00077CF1" w:rsidRPr="001D77EC">
        <w:rPr>
          <w:rStyle w:val="Referencafusnote"/>
        </w:rPr>
        <w:footnoteReference w:id="2"/>
      </w:r>
      <w:r w:rsidR="001D587B" w:rsidRPr="001D77EC">
        <w:t xml:space="preserve"> </w:t>
      </w:r>
      <w:r w:rsidR="00EF4F2C">
        <w:t>[17]</w:t>
      </w:r>
      <w:r w:rsidR="001D587B" w:rsidRPr="001D77EC">
        <w:t xml:space="preserve">, changing correlations </w:t>
      </w:r>
      <w:r w:rsidR="00816306">
        <w:t>[2]</w:t>
      </w:r>
      <w:r w:rsidR="001D587B" w:rsidRPr="001D77EC">
        <w:t xml:space="preserve">, financial crises </w:t>
      </w:r>
      <w:r w:rsidR="00816306">
        <w:t>[3]</w:t>
      </w:r>
      <w:r w:rsidR="001D587B" w:rsidRPr="001D77EC">
        <w:t xml:space="preserve">, etc. </w:t>
      </w:r>
      <w:r w:rsidR="00DB14B3" w:rsidRPr="001D77EC">
        <w:t xml:space="preserve">Maybe the most popular characteristic is that financial markets exhibit regime switching behavior. This means that markets undergo phases of bull and bear markets, i.e. greater and smaller volatility, return and correlations. If this is true, investors should seek to exploit such behavior in order to achieve best results possible (in terms </w:t>
      </w:r>
      <w:r w:rsidR="0028530B" w:rsidRPr="001D77EC">
        <w:t xml:space="preserve">of </w:t>
      </w:r>
      <w:r w:rsidR="00DB14B3" w:rsidRPr="001D77EC">
        <w:t xml:space="preserve">return and/or risk). </w:t>
      </w:r>
      <w:r w:rsidR="0055258F" w:rsidRPr="001D77EC">
        <w:t>Many</w:t>
      </w:r>
      <w:r w:rsidR="00DB14B3" w:rsidRPr="001D77EC">
        <w:t xml:space="preserve"> financial markets in the world have been proven </w:t>
      </w:r>
      <w:r w:rsidR="00797939" w:rsidRPr="001D77EC">
        <w:t xml:space="preserve">to have aforementioned characteristics </w:t>
      </w:r>
      <w:r w:rsidR="0028530B" w:rsidRPr="001D77EC">
        <w:t>in empirical research</w:t>
      </w:r>
      <w:r w:rsidR="00DB14B3" w:rsidRPr="001D77EC">
        <w:t xml:space="preserve">. </w:t>
      </w:r>
      <w:r w:rsidR="00FB4D60" w:rsidRPr="001D77EC">
        <w:t xml:space="preserve">It is also natural to think that economies and markets </w:t>
      </w:r>
      <w:r w:rsidR="00797939" w:rsidRPr="001D77EC">
        <w:t>undergo</w:t>
      </w:r>
      <w:r w:rsidR="00FB4D60" w:rsidRPr="001D77EC">
        <w:t xml:space="preserve"> different regimes of better and worse performance </w:t>
      </w:r>
      <w:r w:rsidR="00816306">
        <w:t>[3]</w:t>
      </w:r>
      <w:r w:rsidR="00FB4D60" w:rsidRPr="001D77EC">
        <w:t>.</w:t>
      </w:r>
      <w:r w:rsidR="00022E6A" w:rsidRPr="001D77EC">
        <w:t xml:space="preserve"> Until the late 1980s, the standard procedure in financial modeling was</w:t>
      </w:r>
      <w:r w:rsidR="005F7F1A" w:rsidRPr="001D77EC">
        <w:t xml:space="preserve"> to use univariate GARCH models, when MGARCH</w:t>
      </w:r>
      <w:r w:rsidR="00A52CE0">
        <w:rPr>
          <w:rStyle w:val="Referencafusnote"/>
        </w:rPr>
        <w:footnoteReference w:id="3"/>
      </w:r>
      <w:r w:rsidR="005F7F1A" w:rsidRPr="001D77EC">
        <w:t xml:space="preserve"> models have been introduced. They have been the most popular approach </w:t>
      </w:r>
      <w:r w:rsidR="00A52CE0">
        <w:t xml:space="preserve">in financial modeling </w:t>
      </w:r>
      <w:r w:rsidR="005F7F1A" w:rsidRPr="001D77EC">
        <w:t xml:space="preserve">until today. However, there has been a rise </w:t>
      </w:r>
      <w:r w:rsidR="000F74E5" w:rsidRPr="001D77EC">
        <w:t>in research which provides evidence that even (M</w:t>
      </w:r>
      <w:proofErr w:type="gramStart"/>
      <w:r w:rsidR="000F74E5" w:rsidRPr="001D77EC">
        <w:t>)GARCH</w:t>
      </w:r>
      <w:proofErr w:type="gramEnd"/>
      <w:r w:rsidR="000F74E5" w:rsidRPr="001D77EC">
        <w:t xml:space="preserve"> methodology cannot fully explain behavior of financial markets and assets. Not all asymmetry can be explained by standard models (see </w:t>
      </w:r>
      <w:r w:rsidR="00816306">
        <w:t>[6]</w:t>
      </w:r>
      <w:r w:rsidR="000F74E5" w:rsidRPr="001D77EC">
        <w:t xml:space="preserve">); standard models predict </w:t>
      </w:r>
      <w:r w:rsidR="006E4B7D" w:rsidRPr="001D77EC">
        <w:t xml:space="preserve">greater volatility persistency than they actually should </w:t>
      </w:r>
      <w:r w:rsidR="00486896">
        <w:t>[15]</w:t>
      </w:r>
      <w:r w:rsidR="006E4B7D" w:rsidRPr="001D77EC">
        <w:t xml:space="preserve">; they cannot capture structure breaks very well </w:t>
      </w:r>
      <w:r w:rsidR="00486896">
        <w:t>[13,</w:t>
      </w:r>
      <w:r w:rsidR="006E4B7D" w:rsidRPr="001D77EC">
        <w:t xml:space="preserve"> </w:t>
      </w:r>
      <w:r w:rsidR="00486896">
        <w:t>24]</w:t>
      </w:r>
      <w:r w:rsidR="006E4B7D" w:rsidRPr="001D77EC">
        <w:t xml:space="preserve">; </w:t>
      </w:r>
      <w:r w:rsidR="0028530B" w:rsidRPr="001D77EC">
        <w:t xml:space="preserve">they carry </w:t>
      </w:r>
      <w:r w:rsidR="008012E2" w:rsidRPr="001D77EC">
        <w:t xml:space="preserve">false assumption that higher moments of return distributions do not change </w:t>
      </w:r>
      <w:r w:rsidR="00645F2D" w:rsidRPr="001D77EC">
        <w:t xml:space="preserve">over time </w:t>
      </w:r>
      <w:r w:rsidR="00816306">
        <w:t>[1]</w:t>
      </w:r>
      <w:r w:rsidR="008012E2" w:rsidRPr="001D77EC">
        <w:t xml:space="preserve">, </w:t>
      </w:r>
      <w:r w:rsidR="006E4B7D" w:rsidRPr="001D77EC">
        <w:t xml:space="preserve">etc. </w:t>
      </w:r>
      <w:r w:rsidR="00840977" w:rsidRPr="001D77EC">
        <w:t>Croatian financial market has been exper</w:t>
      </w:r>
      <w:r w:rsidR="00DB14B3" w:rsidRPr="001D77EC">
        <w:t>iencing the mentioned phenomena as well</w:t>
      </w:r>
      <w:r w:rsidR="00840977" w:rsidRPr="001D77EC">
        <w:t xml:space="preserve">. Since </w:t>
      </w:r>
      <w:r w:rsidR="00D13C6B" w:rsidRPr="001D77EC">
        <w:t>this</w:t>
      </w:r>
      <w:r w:rsidR="00840977" w:rsidRPr="001D77EC">
        <w:t xml:space="preserve"> market is not sufficiently yet explored, there exist many possibilities to do so. Thus, directing the research towards this way can considerably help to increase the quality of investment decisions. Moreover, it can help in the recovery of the stagnating market which is still recuperating from the crisis in 2008.</w:t>
      </w:r>
      <w:r w:rsidR="00FB4D60" w:rsidRPr="001D77EC">
        <w:t xml:space="preserve"> </w:t>
      </w:r>
      <w:r w:rsidR="00DB14B3" w:rsidRPr="001D77EC">
        <w:t xml:space="preserve">The main </w:t>
      </w:r>
      <w:r w:rsidR="00FB4D60" w:rsidRPr="001D77EC">
        <w:t>issue</w:t>
      </w:r>
      <w:r w:rsidR="00DB14B3" w:rsidRPr="001D77EC">
        <w:t xml:space="preserve"> this paper will address is </w:t>
      </w:r>
      <w:r w:rsidR="00FB4D60" w:rsidRPr="001D77EC">
        <w:t xml:space="preserve">that standard models used in finance and econometrics cannot capture the reality as good as nonlinear models. On the other hand, we argue that nonlinear models are more successful. </w:t>
      </w:r>
      <w:r w:rsidR="00791B6F" w:rsidRPr="001D77EC">
        <w:t xml:space="preserve">They can be used to form optimal portfolio which can result with desirable earnings, maximizing utility and/or managing risk. </w:t>
      </w:r>
      <w:r w:rsidR="00645F2D" w:rsidRPr="001D77EC">
        <w:t>Specifically, we</w:t>
      </w:r>
      <w:r w:rsidR="00FB4D60" w:rsidRPr="001D77EC">
        <w:t xml:space="preserve"> focus on the regime switching </w:t>
      </w:r>
      <w:r w:rsidR="00645F2D" w:rsidRPr="001D77EC">
        <w:t>methodology as a superior tool in portfolio management. There exist only several papers wh</w:t>
      </w:r>
      <w:r w:rsidR="00D50950">
        <w:t>ich</w:t>
      </w:r>
      <w:r w:rsidR="00645F2D" w:rsidRPr="001D77EC">
        <w:t xml:space="preserve"> consider Croatian market within this methodology, but they only look at simpler questions without considering using the results in portfolio management. That is why we hope to contribute to the existing literature. The structure of this paper is as follows. Second section deals with </w:t>
      </w:r>
      <w:r w:rsidR="00791B6F" w:rsidRPr="001D77EC">
        <w:t xml:space="preserve">results from </w:t>
      </w:r>
      <w:r w:rsidR="00645F2D" w:rsidRPr="001D77EC">
        <w:t>previous research</w:t>
      </w:r>
      <w:r w:rsidR="00791B6F" w:rsidRPr="001D77EC">
        <w:t xml:space="preserve"> on this topic. Methodology used in </w:t>
      </w:r>
      <w:r w:rsidR="00CE68E4" w:rsidRPr="001D77EC">
        <w:t>this study is explained in the third section, whilst the results from empirical research are provided in the fourth section. The final, fifth section concludes the paper.</w:t>
      </w:r>
    </w:p>
    <w:p w:rsidR="00487E0F" w:rsidRPr="00953E14" w:rsidRDefault="00487E0F" w:rsidP="00953E14">
      <w:pPr>
        <w:jc w:val="both"/>
        <w:rPr>
          <w:b/>
          <w:bCs/>
          <w:sz w:val="18"/>
        </w:rPr>
      </w:pPr>
    </w:p>
    <w:p w:rsidR="006D6858" w:rsidRPr="001D77EC" w:rsidRDefault="006D6858" w:rsidP="006D6858">
      <w:pPr>
        <w:autoSpaceDE w:val="0"/>
        <w:autoSpaceDN w:val="0"/>
        <w:adjustRightInd w:val="0"/>
        <w:rPr>
          <w:b/>
          <w:sz w:val="28"/>
          <w:szCs w:val="28"/>
          <w:lang w:eastAsia="hr-HR"/>
        </w:rPr>
      </w:pPr>
      <w:r w:rsidRPr="001D77EC">
        <w:rPr>
          <w:b/>
          <w:sz w:val="28"/>
          <w:szCs w:val="28"/>
          <w:lang w:eastAsia="hr-HR"/>
        </w:rPr>
        <w:t xml:space="preserve">2. </w:t>
      </w:r>
      <w:r w:rsidR="00163402" w:rsidRPr="001D77EC">
        <w:rPr>
          <w:b/>
          <w:sz w:val="28"/>
          <w:szCs w:val="28"/>
          <w:lang w:eastAsia="hr-HR"/>
        </w:rPr>
        <w:t>Previous research</w:t>
      </w:r>
    </w:p>
    <w:p w:rsidR="005D4E26" w:rsidRPr="00953E14" w:rsidRDefault="005D4E26" w:rsidP="005D4E26">
      <w:pPr>
        <w:jc w:val="both"/>
        <w:rPr>
          <w:b/>
          <w:bCs/>
          <w:sz w:val="18"/>
        </w:rPr>
      </w:pPr>
    </w:p>
    <w:p w:rsidR="005D4E26" w:rsidRPr="001D77EC" w:rsidRDefault="00CE68E4" w:rsidP="005D4E26">
      <w:pPr>
        <w:autoSpaceDE w:val="0"/>
        <w:autoSpaceDN w:val="0"/>
        <w:adjustRightInd w:val="0"/>
        <w:jc w:val="both"/>
        <w:rPr>
          <w:lang w:eastAsia="hr-HR"/>
        </w:rPr>
      </w:pPr>
      <w:r w:rsidRPr="001D77EC">
        <w:rPr>
          <w:lang w:eastAsia="hr-HR"/>
        </w:rPr>
        <w:t xml:space="preserve">This section provides results from previous research which has incorporated regime switching methodology in MGARCH models. The majority of papers </w:t>
      </w:r>
      <w:r w:rsidR="00DB3F36" w:rsidRPr="001D77EC">
        <w:rPr>
          <w:lang w:eastAsia="hr-HR"/>
        </w:rPr>
        <w:t xml:space="preserve">focus on developed markets, </w:t>
      </w:r>
      <w:r w:rsidR="00DB3F36" w:rsidRPr="001D77EC">
        <w:rPr>
          <w:lang w:eastAsia="hr-HR"/>
        </w:rPr>
        <w:lastRenderedPageBreak/>
        <w:t xml:space="preserve">which is not surprising. </w:t>
      </w:r>
      <w:r w:rsidR="00744DDA" w:rsidRPr="001D77EC">
        <w:rPr>
          <w:lang w:eastAsia="hr-HR"/>
        </w:rPr>
        <w:t xml:space="preserve">Moreover, since this methodology is still developing, many of these papers are </w:t>
      </w:r>
      <w:r w:rsidR="00D50950" w:rsidRPr="001D77EC">
        <w:rPr>
          <w:lang w:eastAsia="hr-HR"/>
        </w:rPr>
        <w:t>neither strictly theoretical nor</w:t>
      </w:r>
      <w:r w:rsidR="00D50950">
        <w:rPr>
          <w:lang w:eastAsia="hr-HR"/>
        </w:rPr>
        <w:t xml:space="preserve"> </w:t>
      </w:r>
      <w:r w:rsidR="00744DDA" w:rsidRPr="001D77EC">
        <w:rPr>
          <w:lang w:eastAsia="hr-HR"/>
        </w:rPr>
        <w:t>empirical. Majority of them develop a certain model and test it afterwards.</w:t>
      </w:r>
      <w:r w:rsidR="007230AA" w:rsidRPr="001D77EC">
        <w:rPr>
          <w:lang w:eastAsia="hr-HR"/>
        </w:rPr>
        <w:t xml:space="preserve"> </w:t>
      </w:r>
      <w:r w:rsidR="00DB3F36" w:rsidRPr="001D77EC">
        <w:rPr>
          <w:lang w:eastAsia="hr-HR"/>
        </w:rPr>
        <w:t>Initial research dates from l</w:t>
      </w:r>
      <w:r w:rsidR="006A4142">
        <w:rPr>
          <w:lang w:eastAsia="hr-HR"/>
        </w:rPr>
        <w:t xml:space="preserve">ate 1990s. </w:t>
      </w:r>
      <w:proofErr w:type="spellStart"/>
      <w:r w:rsidR="006A4142">
        <w:rPr>
          <w:lang w:eastAsia="hr-HR"/>
        </w:rPr>
        <w:t>Ramchand</w:t>
      </w:r>
      <w:proofErr w:type="spellEnd"/>
      <w:r w:rsidR="006A4142">
        <w:rPr>
          <w:lang w:eastAsia="hr-HR"/>
        </w:rPr>
        <w:t xml:space="preserve"> and </w:t>
      </w:r>
      <w:proofErr w:type="spellStart"/>
      <w:r w:rsidR="006A4142">
        <w:rPr>
          <w:lang w:eastAsia="hr-HR"/>
        </w:rPr>
        <w:t>Susmel</w:t>
      </w:r>
      <w:proofErr w:type="spellEnd"/>
      <w:r w:rsidR="006A4142">
        <w:rPr>
          <w:lang w:eastAsia="hr-HR"/>
        </w:rPr>
        <w:t xml:space="preserve"> [30]</w:t>
      </w:r>
      <w:r w:rsidR="00DB3F36" w:rsidRPr="001D77EC">
        <w:rPr>
          <w:lang w:eastAsia="hr-HR"/>
        </w:rPr>
        <w:t xml:space="preserve"> have observed 18 developed stock markets. They estimated univariate regime switching models for individual volatilities. Afterwards, they estimate bivariate VAR(1) models between selected pairs of countries with the assumption that there exist two regimes: high and low volatility which affects return correlations.</w:t>
      </w:r>
      <w:r w:rsidR="004F3BD5" w:rsidRPr="001D77EC">
        <w:rPr>
          <w:lang w:eastAsia="hr-HR"/>
        </w:rPr>
        <w:t xml:space="preserve"> The methodology is a basic form of </w:t>
      </w:r>
      <w:proofErr w:type="spellStart"/>
      <w:r w:rsidR="004F3BD5" w:rsidRPr="001D77EC">
        <w:rPr>
          <w:lang w:eastAsia="hr-HR"/>
        </w:rPr>
        <w:t>Bollerslev</w:t>
      </w:r>
      <w:proofErr w:type="spellEnd"/>
      <w:r w:rsidR="004F3BD5" w:rsidRPr="001D77EC">
        <w:rPr>
          <w:lang w:eastAsia="hr-HR"/>
        </w:rPr>
        <w:t xml:space="preserve"> model </w:t>
      </w:r>
      <w:r w:rsidR="008E752A">
        <w:rPr>
          <w:lang w:eastAsia="hr-HR"/>
        </w:rPr>
        <w:t>[10]</w:t>
      </w:r>
      <w:r w:rsidR="004F3BD5" w:rsidRPr="001D77EC">
        <w:rPr>
          <w:lang w:eastAsia="hr-HR"/>
        </w:rPr>
        <w:t xml:space="preserve">. </w:t>
      </w:r>
      <w:r w:rsidR="00962003" w:rsidRPr="001D77EC">
        <w:rPr>
          <w:lang w:eastAsia="hr-HR"/>
        </w:rPr>
        <w:t xml:space="preserve">They showed that there exists a need for two regimes which can be exploited by investors, although they did not check all of the needed diagnostics. </w:t>
      </w:r>
      <w:r w:rsidR="004F3BD5" w:rsidRPr="001D77EC">
        <w:rPr>
          <w:lang w:eastAsia="hr-HR"/>
        </w:rPr>
        <w:t xml:space="preserve">In 2001, </w:t>
      </w:r>
      <w:r w:rsidR="009353C3">
        <w:rPr>
          <w:lang w:eastAsia="hr-HR"/>
        </w:rPr>
        <w:t>Edwards</w:t>
      </w:r>
      <w:r w:rsidR="009A56F8" w:rsidRPr="001D77EC">
        <w:rPr>
          <w:lang w:eastAsia="hr-HR"/>
        </w:rPr>
        <w:t xml:space="preserve"> and </w:t>
      </w:r>
      <w:proofErr w:type="spellStart"/>
      <w:r w:rsidR="009A56F8" w:rsidRPr="001D77EC">
        <w:rPr>
          <w:lang w:eastAsia="hr-HR"/>
        </w:rPr>
        <w:t>Susmel</w:t>
      </w:r>
      <w:proofErr w:type="spellEnd"/>
      <w:r w:rsidR="009A56F8" w:rsidRPr="001D77EC">
        <w:rPr>
          <w:lang w:eastAsia="hr-HR"/>
        </w:rPr>
        <w:t xml:space="preserve"> </w:t>
      </w:r>
      <w:r w:rsidR="00486896">
        <w:rPr>
          <w:lang w:eastAsia="hr-HR"/>
        </w:rPr>
        <w:t>[14]</w:t>
      </w:r>
      <w:r w:rsidR="009A56F8" w:rsidRPr="001D77EC">
        <w:rPr>
          <w:lang w:eastAsia="hr-HR"/>
        </w:rPr>
        <w:t xml:space="preserve"> </w:t>
      </w:r>
      <w:r w:rsidR="004F3BD5" w:rsidRPr="001D77EC">
        <w:rPr>
          <w:lang w:eastAsia="hr-HR"/>
        </w:rPr>
        <w:t>use the same methodology in order to explore several developing markets</w:t>
      </w:r>
      <w:r w:rsidR="009A56F8" w:rsidRPr="001D77EC">
        <w:rPr>
          <w:lang w:eastAsia="hr-HR"/>
        </w:rPr>
        <w:t xml:space="preserve">. They look at stock markets again and estimate returns as ARMA and VAR(1) models without regimes. Risks are modeled with the assumption of regime switching. Results are similar as three years before. Next, they focused on interest rates </w:t>
      </w:r>
      <w:r w:rsidR="00486896">
        <w:rPr>
          <w:lang w:eastAsia="hr-HR"/>
        </w:rPr>
        <w:t>[15]</w:t>
      </w:r>
      <w:r w:rsidR="009A56F8" w:rsidRPr="001D77EC">
        <w:rPr>
          <w:lang w:eastAsia="hr-HR"/>
        </w:rPr>
        <w:t xml:space="preserve"> in the same set of developing markets. Here they modeled three regimes because tests have shown that there exists such a need.</w:t>
      </w:r>
    </w:p>
    <w:p w:rsidR="009A56F8" w:rsidRPr="001D77EC" w:rsidRDefault="009A56F8" w:rsidP="005D4E26">
      <w:pPr>
        <w:autoSpaceDE w:val="0"/>
        <w:autoSpaceDN w:val="0"/>
        <w:adjustRightInd w:val="0"/>
        <w:jc w:val="both"/>
        <w:rPr>
          <w:lang w:eastAsia="hr-HR"/>
        </w:rPr>
      </w:pPr>
      <w:r w:rsidRPr="001D77EC">
        <w:rPr>
          <w:lang w:eastAsia="hr-HR"/>
        </w:rPr>
        <w:t xml:space="preserve">After these initial </w:t>
      </w:r>
      <w:r w:rsidR="00F0235E" w:rsidRPr="001D77EC">
        <w:rPr>
          <w:lang w:eastAsia="hr-HR"/>
        </w:rPr>
        <w:t xml:space="preserve">papers, more complex research has emerged. </w:t>
      </w:r>
      <w:proofErr w:type="spellStart"/>
      <w:r w:rsidR="00F0235E" w:rsidRPr="001D77EC">
        <w:rPr>
          <w:lang w:eastAsia="hr-HR"/>
        </w:rPr>
        <w:t>Cappiello</w:t>
      </w:r>
      <w:proofErr w:type="spellEnd"/>
      <w:r w:rsidR="00F0235E" w:rsidRPr="001D77EC">
        <w:rPr>
          <w:lang w:eastAsia="hr-HR"/>
        </w:rPr>
        <w:t xml:space="preserve"> and </w:t>
      </w:r>
      <w:proofErr w:type="spellStart"/>
      <w:r w:rsidR="00F0235E" w:rsidRPr="001D77EC">
        <w:rPr>
          <w:lang w:eastAsia="hr-HR"/>
        </w:rPr>
        <w:t>Fearnley</w:t>
      </w:r>
      <w:proofErr w:type="spellEnd"/>
      <w:r w:rsidR="00F0235E" w:rsidRPr="001D77EC">
        <w:rPr>
          <w:lang w:eastAsia="hr-HR"/>
        </w:rPr>
        <w:t xml:space="preserve"> </w:t>
      </w:r>
      <w:r w:rsidR="00A46397">
        <w:rPr>
          <w:lang w:eastAsia="hr-HR"/>
        </w:rPr>
        <w:t>[11]</w:t>
      </w:r>
      <w:r w:rsidR="00F0235E" w:rsidRPr="001D77EC">
        <w:rPr>
          <w:lang w:eastAsia="hr-HR"/>
        </w:rPr>
        <w:t xml:space="preserve"> estimated ICAPM model (International CAPM) as a regime switching BEKK. However, they did not consider the whole theoretical part of it.</w:t>
      </w:r>
      <w:r w:rsidR="00664F69" w:rsidRPr="001D77EC">
        <w:rPr>
          <w:lang w:eastAsia="hr-HR"/>
        </w:rPr>
        <w:t xml:space="preserve"> Their interest was focused on three developed capital markets (American, Japanese and European). Several explanatory variables were included in the model</w:t>
      </w:r>
      <w:r w:rsidR="00EA542A" w:rsidRPr="001D77EC">
        <w:rPr>
          <w:lang w:eastAsia="hr-HR"/>
        </w:rPr>
        <w:t xml:space="preserve">. The regime switching models were superior in forecasting compared to non switching ones. </w:t>
      </w:r>
      <w:proofErr w:type="spellStart"/>
      <w:r w:rsidR="00EA542A" w:rsidRPr="001D77EC">
        <w:rPr>
          <w:lang w:eastAsia="hr-HR"/>
        </w:rPr>
        <w:t>Billio</w:t>
      </w:r>
      <w:proofErr w:type="spellEnd"/>
      <w:r w:rsidR="00EA542A" w:rsidRPr="001D77EC">
        <w:rPr>
          <w:lang w:eastAsia="hr-HR"/>
        </w:rPr>
        <w:t xml:space="preserve"> and </w:t>
      </w:r>
      <w:proofErr w:type="spellStart"/>
      <w:r w:rsidR="00EA542A" w:rsidRPr="001D77EC">
        <w:rPr>
          <w:lang w:eastAsia="hr-HR"/>
        </w:rPr>
        <w:t>Pelizzon</w:t>
      </w:r>
      <w:proofErr w:type="spellEnd"/>
      <w:r w:rsidR="00EA542A" w:rsidRPr="001D77EC">
        <w:rPr>
          <w:lang w:eastAsia="hr-HR"/>
        </w:rPr>
        <w:t xml:space="preserve"> </w:t>
      </w:r>
      <w:r w:rsidR="00D1488A">
        <w:rPr>
          <w:lang w:eastAsia="hr-HR"/>
        </w:rPr>
        <w:t>[8</w:t>
      </w:r>
      <w:proofErr w:type="gramStart"/>
      <w:r w:rsidR="00D1488A">
        <w:rPr>
          <w:lang w:eastAsia="hr-HR"/>
        </w:rPr>
        <w:t>,9</w:t>
      </w:r>
      <w:proofErr w:type="gramEnd"/>
      <w:r w:rsidR="00D1488A">
        <w:rPr>
          <w:lang w:eastAsia="hr-HR"/>
        </w:rPr>
        <w:t>]</w:t>
      </w:r>
      <w:r w:rsidR="00EA542A" w:rsidRPr="001D77EC">
        <w:rPr>
          <w:lang w:eastAsia="hr-HR"/>
        </w:rPr>
        <w:t xml:space="preserve"> estimated Value at Risk for Italian stocks and volatility transmission between selected European markets.</w:t>
      </w:r>
      <w:r w:rsidR="0031613B" w:rsidRPr="001D77EC">
        <w:rPr>
          <w:lang w:eastAsia="hr-HR"/>
        </w:rPr>
        <w:t xml:space="preserve"> Several regime switching specifications were applied: univariate models, beta model, factor and multivariate switching. Not surprisingly, they were superior to non switching models. Thus, they recommended </w:t>
      </w:r>
      <w:r w:rsidR="00356F12" w:rsidRPr="001D77EC">
        <w:rPr>
          <w:lang w:eastAsia="hr-HR"/>
        </w:rPr>
        <w:t>incorporating</w:t>
      </w:r>
      <w:r w:rsidR="0031613B" w:rsidRPr="001D77EC">
        <w:rPr>
          <w:lang w:eastAsia="hr-HR"/>
        </w:rPr>
        <w:t xml:space="preserve"> switching methodology in existing models.</w:t>
      </w:r>
    </w:p>
    <w:p w:rsidR="00EA542A" w:rsidRPr="001D77EC" w:rsidRDefault="00356F12" w:rsidP="005D4E26">
      <w:pPr>
        <w:autoSpaceDE w:val="0"/>
        <w:autoSpaceDN w:val="0"/>
        <w:adjustRightInd w:val="0"/>
        <w:jc w:val="both"/>
      </w:pPr>
      <w:r w:rsidRPr="001D77EC">
        <w:rPr>
          <w:lang w:eastAsia="hr-HR"/>
        </w:rPr>
        <w:t>A more complete theoretical methodology of multivariate regime switching was done in Pelletier</w:t>
      </w:r>
      <w:r w:rsidR="00890058">
        <w:rPr>
          <w:lang w:eastAsia="hr-HR"/>
        </w:rPr>
        <w:t xml:space="preserve"> [29]</w:t>
      </w:r>
      <w:r w:rsidRPr="001D77EC">
        <w:rPr>
          <w:lang w:eastAsia="hr-HR"/>
        </w:rPr>
        <w:t xml:space="preserve">. In his model, he assumes that correlations are constant within the regime. It is a transition from CCC (constant conditional correlation) to DCC (dynamic) model. The empirical part of the paper focused on interest rates. He showed that his model was superior in forecasting compared to the DCC model. </w:t>
      </w:r>
      <w:proofErr w:type="spellStart"/>
      <w:r w:rsidR="00D1488A">
        <w:t>Billio</w:t>
      </w:r>
      <w:proofErr w:type="spellEnd"/>
      <w:r w:rsidR="00D1488A">
        <w:t xml:space="preserve"> and </w:t>
      </w:r>
      <w:proofErr w:type="spellStart"/>
      <w:r w:rsidR="00D1488A">
        <w:t>Caporin</w:t>
      </w:r>
      <w:proofErr w:type="spellEnd"/>
      <w:r w:rsidR="00D1488A">
        <w:t xml:space="preserve"> [7]</w:t>
      </w:r>
      <w:r w:rsidRPr="001D77EC">
        <w:t xml:space="preserve"> extended that model with the assumption that correlations change within the regime and successfully test it on several developed capital markets. </w:t>
      </w:r>
      <w:proofErr w:type="spellStart"/>
      <w:r w:rsidRPr="001D77EC">
        <w:t>Baele</w:t>
      </w:r>
      <w:proofErr w:type="spellEnd"/>
      <w:r w:rsidRPr="001D77EC">
        <w:t xml:space="preserve"> </w:t>
      </w:r>
      <w:r w:rsidR="00816306">
        <w:t>[6]</w:t>
      </w:r>
      <w:r w:rsidRPr="001D77EC">
        <w:t xml:space="preserve"> takes a step further and introduces some diagnostic tests. He focused on the integration of West Europe capital markets. The regimes were shown to be economically and statistically significant. </w:t>
      </w:r>
      <w:r w:rsidR="002200DD" w:rsidRPr="001D77EC">
        <w:t xml:space="preserve">Lee and Yoder </w:t>
      </w:r>
      <w:r w:rsidR="00452B8F">
        <w:t>[25</w:t>
      </w:r>
      <w:proofErr w:type="gramStart"/>
      <w:r w:rsidR="00452B8F">
        <w:t>,26</w:t>
      </w:r>
      <w:proofErr w:type="gramEnd"/>
      <w:r w:rsidR="00452B8F">
        <w:t>]</w:t>
      </w:r>
      <w:r w:rsidR="002200DD" w:rsidRPr="001D77EC">
        <w:t xml:space="preserve"> were the first who developed regime switching BEKK model, but they considered only a bivariate case. Hedging opportunities were better in the switching </w:t>
      </w:r>
      <w:r w:rsidR="00931F0D">
        <w:t>model</w:t>
      </w:r>
      <w:r w:rsidR="002200DD" w:rsidRPr="001D77EC">
        <w:t xml:space="preserve">. </w:t>
      </w:r>
      <w:proofErr w:type="spellStart"/>
      <w:r w:rsidR="00F0561F" w:rsidRPr="001D77EC">
        <w:t>Nomikos</w:t>
      </w:r>
      <w:proofErr w:type="spellEnd"/>
      <w:r w:rsidR="00F0561F">
        <w:t>,</w:t>
      </w:r>
      <w:r w:rsidR="00F0561F" w:rsidRPr="001D77EC">
        <w:t xml:space="preserve"> </w:t>
      </w:r>
      <w:proofErr w:type="spellStart"/>
      <w:r w:rsidRPr="001D77EC">
        <w:t>Alizadeh</w:t>
      </w:r>
      <w:proofErr w:type="spellEnd"/>
      <w:r w:rsidRPr="001D77EC">
        <w:t xml:space="preserve"> and </w:t>
      </w:r>
      <w:proofErr w:type="spellStart"/>
      <w:r w:rsidRPr="001D77EC">
        <w:t>Pouliasis</w:t>
      </w:r>
      <w:proofErr w:type="spellEnd"/>
      <w:r w:rsidRPr="001D77EC">
        <w:t xml:space="preserve"> </w:t>
      </w:r>
      <w:r w:rsidR="00452B8F">
        <w:t>[27]</w:t>
      </w:r>
      <w:r w:rsidRPr="001D77EC">
        <w:t xml:space="preserve"> showed that regime switching BEKK was suitable for futures markets (USA data).</w:t>
      </w:r>
    </w:p>
    <w:p w:rsidR="00744DDA" w:rsidRPr="001D77EC" w:rsidRDefault="00744DDA" w:rsidP="00B73F51">
      <w:pPr>
        <w:autoSpaceDE w:val="0"/>
        <w:autoSpaceDN w:val="0"/>
        <w:adjustRightInd w:val="0"/>
        <w:jc w:val="both"/>
      </w:pPr>
      <w:r w:rsidRPr="001D77EC">
        <w:t xml:space="preserve">Significant contribution was provided </w:t>
      </w:r>
      <w:r w:rsidR="00D13C6B" w:rsidRPr="001D77EC">
        <w:t>in</w:t>
      </w:r>
      <w:r w:rsidRPr="001D77EC">
        <w:t xml:space="preserve"> Haas and </w:t>
      </w:r>
      <w:proofErr w:type="spellStart"/>
      <w:r w:rsidRPr="001D77EC">
        <w:t>Mittnik</w:t>
      </w:r>
      <w:proofErr w:type="spellEnd"/>
      <w:r w:rsidRPr="001D77EC">
        <w:t xml:space="preserve"> </w:t>
      </w:r>
      <w:r w:rsidR="00C57448">
        <w:t>[19]</w:t>
      </w:r>
      <w:r w:rsidRPr="001D77EC">
        <w:t>. They fully defined a multivariate generalization of regime switching GARCH model. It is a diagonal VEC model. In that way they assured that the variance-covariance matrix is positive definite. However, they assume that the same latent variable is governing regimes of different variables.</w:t>
      </w:r>
      <w:r w:rsidR="002B1828" w:rsidRPr="001D77EC">
        <w:t xml:space="preserve"> The application of the model was provided on American, British and German stock returns. Statistical diagnostics showed that their model was better compared to other models they used in the study. In the following year Chen </w:t>
      </w:r>
      <w:r w:rsidR="00A46397">
        <w:t>[12]</w:t>
      </w:r>
      <w:r w:rsidR="002B1828" w:rsidRPr="001D77EC">
        <w:t xml:space="preserve"> developed his model. He focuses on the CCC model. Moreover, he elabo</w:t>
      </w:r>
      <w:r w:rsidR="00C57448">
        <w:t xml:space="preserve">rates that in Haas and </w:t>
      </w:r>
      <w:proofErr w:type="spellStart"/>
      <w:proofErr w:type="gramStart"/>
      <w:r w:rsidR="00C57448">
        <w:t>Mittnik</w:t>
      </w:r>
      <w:proofErr w:type="spellEnd"/>
      <w:r w:rsidR="00C57448">
        <w:t xml:space="preserve">  [</w:t>
      </w:r>
      <w:proofErr w:type="gramEnd"/>
      <w:r w:rsidR="00C57448">
        <w:t xml:space="preserve">19] </w:t>
      </w:r>
      <w:r w:rsidR="002B1828" w:rsidRPr="001D77EC">
        <w:t xml:space="preserve">model it is difficult to estimate the correlation. The reason lies in the fact that when correlation changes, it is not known </w:t>
      </w:r>
      <w:r w:rsidR="00D13C6B" w:rsidRPr="001D77EC">
        <w:t>how much does the</w:t>
      </w:r>
      <w:r w:rsidR="002B1828" w:rsidRPr="001D77EC">
        <w:t xml:space="preserve"> change in the variance of one return or the other</w:t>
      </w:r>
      <w:r w:rsidR="00D13C6B" w:rsidRPr="001D77EC">
        <w:t xml:space="preserve"> affect it</w:t>
      </w:r>
      <w:r w:rsidR="002B1828" w:rsidRPr="001D77EC">
        <w:t xml:space="preserve">. He solves that problem. Furthermore, he assumes that each return series has its own latent variable which governs the regime switching behavior. Since this paper solves many issues from previous research, in this paper we use the Chen </w:t>
      </w:r>
      <w:r w:rsidR="00A46397">
        <w:t>[12]</w:t>
      </w:r>
      <w:r w:rsidR="002B1828" w:rsidRPr="001D77EC">
        <w:t xml:space="preserve"> model in the empirical part of this paper.</w:t>
      </w:r>
      <w:r w:rsidR="00B73F51" w:rsidRPr="001D77EC">
        <w:t xml:space="preserve"> </w:t>
      </w:r>
      <w:r w:rsidR="002B1828" w:rsidRPr="001D77EC">
        <w:t>In recent couple of years</w:t>
      </w:r>
      <w:r w:rsidR="00B73F51" w:rsidRPr="001D77EC">
        <w:t xml:space="preserve"> there have been emerging several more papers which focus on specific </w:t>
      </w:r>
      <w:r w:rsidR="00B73F51" w:rsidRPr="001D77EC">
        <w:lastRenderedPageBreak/>
        <w:t xml:space="preserve">markets. Some studies include </w:t>
      </w:r>
      <w:proofErr w:type="spellStart"/>
      <w:r w:rsidR="00B73F51" w:rsidRPr="001D77EC">
        <w:t>Sheu</w:t>
      </w:r>
      <w:proofErr w:type="spellEnd"/>
      <w:r w:rsidR="00B73F51" w:rsidRPr="001D77EC">
        <w:t xml:space="preserve"> and Lee </w:t>
      </w:r>
      <w:r w:rsidR="006A4142">
        <w:t>[31]</w:t>
      </w:r>
      <w:r w:rsidR="00B73F51" w:rsidRPr="001D77EC">
        <w:t xml:space="preserve">, Otranto </w:t>
      </w:r>
      <w:r w:rsidR="00890058">
        <w:t>[28]</w:t>
      </w:r>
      <w:r w:rsidR="00B73F51" w:rsidRPr="001D77EC">
        <w:t xml:space="preserve">, Haas and Liu </w:t>
      </w:r>
      <w:r w:rsidR="00C57448">
        <w:t>[18]</w:t>
      </w:r>
      <w:r w:rsidR="00B73F51" w:rsidRPr="001D77EC">
        <w:t xml:space="preserve">, </w:t>
      </w:r>
      <w:proofErr w:type="spellStart"/>
      <w:r w:rsidR="00B73F51" w:rsidRPr="001D77EC">
        <w:t>Sheu</w:t>
      </w:r>
      <w:proofErr w:type="spellEnd"/>
      <w:r w:rsidR="00B73F51" w:rsidRPr="001D77EC">
        <w:t xml:space="preserve">, Lee and Lai </w:t>
      </w:r>
      <w:r w:rsidR="006A4142">
        <w:t>[32],</w:t>
      </w:r>
      <w:r w:rsidR="00B73F51" w:rsidRPr="001D77EC">
        <w:t xml:space="preserve"> etc. All of the mentioned research emphasizes the importance of incorporating regime switching methodology when modeling risk and return on financial markets.</w:t>
      </w:r>
      <w:r w:rsidR="00D13C6B" w:rsidRPr="001D77EC">
        <w:t xml:space="preserve"> </w:t>
      </w:r>
    </w:p>
    <w:p w:rsidR="00B73F51" w:rsidRPr="001D77EC" w:rsidRDefault="00B73F51" w:rsidP="00B73F51">
      <w:pPr>
        <w:autoSpaceDE w:val="0"/>
        <w:autoSpaceDN w:val="0"/>
        <w:adjustRightInd w:val="0"/>
        <w:jc w:val="both"/>
      </w:pPr>
      <w:r w:rsidRPr="001D77EC">
        <w:t xml:space="preserve">If we observe research which deals with Croatian market within this methodology, it can be seen that there only exist several papers. All of them are much simpler compared to methodology in the foreign research. </w:t>
      </w:r>
      <w:r w:rsidR="00701692" w:rsidRPr="001D77EC">
        <w:t xml:space="preserve">For example, </w:t>
      </w:r>
      <w:proofErr w:type="spellStart"/>
      <w:r w:rsidR="00701692" w:rsidRPr="001D77EC">
        <w:t>Arnerić</w:t>
      </w:r>
      <w:proofErr w:type="spellEnd"/>
      <w:r w:rsidR="00701692" w:rsidRPr="001D77EC">
        <w:t xml:space="preserve"> and </w:t>
      </w:r>
      <w:proofErr w:type="spellStart"/>
      <w:r w:rsidR="00701692" w:rsidRPr="001D77EC">
        <w:t>Erjavec</w:t>
      </w:r>
      <w:proofErr w:type="spellEnd"/>
      <w:r w:rsidR="00701692" w:rsidRPr="001D77EC">
        <w:t xml:space="preserve"> </w:t>
      </w:r>
      <w:r w:rsidR="00816306">
        <w:t>[4]</w:t>
      </w:r>
      <w:r w:rsidR="00701692" w:rsidRPr="001D77EC">
        <w:t xml:space="preserve"> were the first ones to use regime switching</w:t>
      </w:r>
      <w:r w:rsidR="00D13C6B" w:rsidRPr="001D77EC">
        <w:t xml:space="preserve"> on Croatian data</w:t>
      </w:r>
      <w:r w:rsidR="00701692" w:rsidRPr="001D77EC">
        <w:t xml:space="preserve">. They estimated univariate model for the Croatian capital market. Regime switching model was superior in context of diagnostics. </w:t>
      </w:r>
      <w:proofErr w:type="spellStart"/>
      <w:r w:rsidR="00701692" w:rsidRPr="001D77EC">
        <w:t>Kunovac</w:t>
      </w:r>
      <w:proofErr w:type="spellEnd"/>
      <w:r w:rsidR="00701692" w:rsidRPr="001D77EC">
        <w:t xml:space="preserve"> </w:t>
      </w:r>
      <w:r w:rsidR="00C157B9">
        <w:t>[23]</w:t>
      </w:r>
      <w:r w:rsidR="00701692" w:rsidRPr="001D77EC">
        <w:t xml:space="preserve"> considered asymmetry in the behavior of risk and return on Zagreb Stock Exchange and several European markets. Again, he looks at univariate cases. However, he did some post-estimation analysis, something which is not provided in </w:t>
      </w:r>
      <w:r w:rsidR="00701692" w:rsidRPr="006A4142">
        <w:t>[</w:t>
      </w:r>
      <w:r w:rsidR="006A4142" w:rsidRPr="006A4142">
        <w:t>4</w:t>
      </w:r>
      <w:r w:rsidR="00701692" w:rsidRPr="006A4142">
        <w:t>].</w:t>
      </w:r>
      <w:r w:rsidR="00701692" w:rsidRPr="001D77EC">
        <w:t xml:space="preserve"> Some basic portfolio management was simulated. Regime switching portfolios had greater returns compared to other portfolios, but the author did not analyze risks.</w:t>
      </w:r>
      <w:r w:rsidR="00816306">
        <w:t xml:space="preserve"> </w:t>
      </w:r>
      <w:proofErr w:type="spellStart"/>
      <w:r w:rsidR="00816306">
        <w:t>Visković</w:t>
      </w:r>
      <w:proofErr w:type="spellEnd"/>
      <w:r w:rsidR="00816306">
        <w:t xml:space="preserve">, </w:t>
      </w:r>
      <w:proofErr w:type="spellStart"/>
      <w:r w:rsidR="00816306">
        <w:t>Arnerić</w:t>
      </w:r>
      <w:proofErr w:type="spellEnd"/>
      <w:r w:rsidR="00816306">
        <w:t xml:space="preserve"> and </w:t>
      </w:r>
      <w:proofErr w:type="spellStart"/>
      <w:r w:rsidR="00816306">
        <w:t>Rozga</w:t>
      </w:r>
      <w:proofErr w:type="spellEnd"/>
      <w:r w:rsidR="00816306">
        <w:t xml:space="preserve"> [36]</w:t>
      </w:r>
      <w:r w:rsidR="00B816C1" w:rsidRPr="001D77EC">
        <w:t xml:space="preserve"> estimated several univariate switching models for 6 European countries. They recommend using this methodology to solve problems of structural breaks in data. Škrinjarić </w:t>
      </w:r>
      <w:r w:rsidR="006A4142">
        <w:t>[33]</w:t>
      </w:r>
      <w:r w:rsidR="00B816C1" w:rsidRPr="001D77EC">
        <w:t xml:space="preserve"> considered regime switching CAPM model for 21 stocks on Croatian market. It was found that this model was better compared to the original linear model and beta could be used as a measure of risk after all. </w:t>
      </w:r>
      <w:proofErr w:type="spellStart"/>
      <w:r w:rsidR="00B816C1" w:rsidRPr="001D77EC">
        <w:t>Arnerić</w:t>
      </w:r>
      <w:proofErr w:type="spellEnd"/>
      <w:r w:rsidR="00B816C1" w:rsidRPr="001D77EC">
        <w:t xml:space="preserve"> and </w:t>
      </w:r>
      <w:proofErr w:type="spellStart"/>
      <w:r w:rsidR="00B816C1" w:rsidRPr="001D77EC">
        <w:t>Škrabić</w:t>
      </w:r>
      <w:proofErr w:type="spellEnd"/>
      <w:r w:rsidR="00B816C1" w:rsidRPr="001D77EC">
        <w:t xml:space="preserve"> </w:t>
      </w:r>
      <w:r w:rsidR="00816306">
        <w:t>[5]</w:t>
      </w:r>
      <w:r w:rsidR="00B816C1" w:rsidRPr="001D77EC">
        <w:t xml:space="preserve"> made a similar </w:t>
      </w:r>
      <w:r w:rsidR="00B816C1" w:rsidRPr="006A4142">
        <w:t>research as [</w:t>
      </w:r>
      <w:r w:rsidR="006A4142" w:rsidRPr="006A4142">
        <w:t>36</w:t>
      </w:r>
      <w:r w:rsidR="00B816C1" w:rsidRPr="006A4142">
        <w:t>]</w:t>
      </w:r>
      <w:r w:rsidR="00B816C1" w:rsidRPr="001D77EC">
        <w:t xml:space="preserve"> for similar countries. As it can be seen, existing research is scarce, simple and does not provide a post-estimation analysis which could be useful for portfolio management and investors. That is why this paper has a purpose to fulfill that gap. The next section provides information on the methodology used in the empirical research.</w:t>
      </w:r>
    </w:p>
    <w:p w:rsidR="00744DDA" w:rsidRPr="00953E14" w:rsidRDefault="00744DDA" w:rsidP="00953E14">
      <w:pPr>
        <w:jc w:val="both"/>
        <w:rPr>
          <w:b/>
          <w:bCs/>
          <w:sz w:val="18"/>
        </w:rPr>
      </w:pPr>
    </w:p>
    <w:p w:rsidR="00C956C2" w:rsidRPr="001D77EC" w:rsidRDefault="005D4E26" w:rsidP="005D4E26">
      <w:pPr>
        <w:autoSpaceDE w:val="0"/>
        <w:autoSpaceDN w:val="0"/>
        <w:adjustRightInd w:val="0"/>
        <w:rPr>
          <w:b/>
          <w:sz w:val="28"/>
          <w:szCs w:val="28"/>
          <w:lang w:eastAsia="hr-HR"/>
        </w:rPr>
      </w:pPr>
      <w:r w:rsidRPr="001D77EC">
        <w:rPr>
          <w:b/>
          <w:sz w:val="28"/>
          <w:szCs w:val="28"/>
          <w:lang w:eastAsia="hr-HR"/>
        </w:rPr>
        <w:t>3. Methodology</w:t>
      </w:r>
    </w:p>
    <w:p w:rsidR="005D4E26" w:rsidRPr="00953E14" w:rsidRDefault="005D4E26" w:rsidP="005D4E26">
      <w:pPr>
        <w:jc w:val="both"/>
        <w:rPr>
          <w:b/>
          <w:bCs/>
          <w:sz w:val="18"/>
        </w:rPr>
      </w:pPr>
    </w:p>
    <w:p w:rsidR="005D4E26" w:rsidRPr="001D77EC" w:rsidRDefault="00826428" w:rsidP="005D4E26">
      <w:pPr>
        <w:autoSpaceDE w:val="0"/>
        <w:autoSpaceDN w:val="0"/>
        <w:adjustRightInd w:val="0"/>
        <w:jc w:val="both"/>
        <w:rPr>
          <w:lang w:eastAsia="hr-HR"/>
        </w:rPr>
      </w:pPr>
      <w:r w:rsidRPr="001D77EC">
        <w:rPr>
          <w:lang w:eastAsia="hr-HR"/>
        </w:rPr>
        <w:t xml:space="preserve">As mentioned in the previous section, the main model we follow is Chen </w:t>
      </w:r>
      <w:r w:rsidR="00A46397">
        <w:rPr>
          <w:lang w:eastAsia="hr-HR"/>
        </w:rPr>
        <w:t>[12]</w:t>
      </w:r>
      <w:r w:rsidRPr="001D77EC">
        <w:rPr>
          <w:lang w:eastAsia="hr-HR"/>
        </w:rPr>
        <w:t xml:space="preserve">. Reasons lie in facts that this model corrected some of the pitfalls of models which were developed earlier. It is </w:t>
      </w:r>
      <w:r w:rsidR="00E1214E" w:rsidRPr="001D77EC">
        <w:rPr>
          <w:lang w:eastAsia="hr-HR"/>
        </w:rPr>
        <w:t>more realistic to assume that each financial asset has its own latent variable which governs the regime switching dynamics. If all of the financial markets were behaving exactly the same, there would not be any diversification possibilities. Moreover, this model is slightly simpler to estimate compared to previous ones.</w:t>
      </w:r>
      <w:r w:rsidR="008E330C" w:rsidRPr="001D77EC">
        <w:rPr>
          <w:lang w:eastAsia="hr-HR"/>
        </w:rPr>
        <w:t xml:space="preserve"> The CCC model of </w:t>
      </w:r>
      <w:proofErr w:type="spellStart"/>
      <w:r w:rsidR="008E330C" w:rsidRPr="001D77EC">
        <w:rPr>
          <w:lang w:eastAsia="hr-HR"/>
        </w:rPr>
        <w:t>Bollerslev</w:t>
      </w:r>
      <w:proofErr w:type="spellEnd"/>
      <w:r w:rsidR="008E330C" w:rsidRPr="001D77EC">
        <w:rPr>
          <w:lang w:eastAsia="hr-HR"/>
        </w:rPr>
        <w:t xml:space="preserve"> </w:t>
      </w:r>
      <w:r w:rsidR="008A4ED0">
        <w:rPr>
          <w:lang w:eastAsia="hr-HR"/>
        </w:rPr>
        <w:t>[10]</w:t>
      </w:r>
      <w:r w:rsidR="008E330C" w:rsidRPr="001D77EC">
        <w:rPr>
          <w:lang w:eastAsia="hr-HR"/>
        </w:rPr>
        <w:t xml:space="preserve"> is the base of the modeling. Individual volatilities follow </w:t>
      </w:r>
      <w:proofErr w:type="gramStart"/>
      <w:r w:rsidR="008E330C" w:rsidRPr="001D77EC">
        <w:rPr>
          <w:lang w:eastAsia="hr-HR"/>
        </w:rPr>
        <w:t>their own</w:t>
      </w:r>
      <w:proofErr w:type="gramEnd"/>
      <w:r w:rsidR="008E330C" w:rsidRPr="001D77EC">
        <w:rPr>
          <w:lang w:eastAsia="hr-HR"/>
        </w:rPr>
        <w:t xml:space="preserve"> regime switching behavior. Covariance is modeled as a three component process. It depends on individual volatilities, as well as the correlation between them. </w:t>
      </w:r>
      <w:r w:rsidR="00A46397" w:rsidRPr="001D77EC">
        <w:rPr>
          <w:lang w:eastAsia="hr-HR"/>
        </w:rPr>
        <w:t xml:space="preserve">Chen </w:t>
      </w:r>
      <w:r w:rsidR="00A46397">
        <w:rPr>
          <w:lang w:eastAsia="hr-HR"/>
        </w:rPr>
        <w:t xml:space="preserve">[12] </w:t>
      </w:r>
      <w:r w:rsidR="00DF26B3" w:rsidRPr="001D77EC">
        <w:rPr>
          <w:lang w:eastAsia="hr-HR"/>
        </w:rPr>
        <w:t>observed stock and bond market interactions. In a similar way, we observe those two markets</w:t>
      </w:r>
      <w:r w:rsidR="007628AB" w:rsidRPr="001D77EC">
        <w:rPr>
          <w:lang w:eastAsia="hr-HR"/>
        </w:rPr>
        <w:t xml:space="preserve"> in Croatia</w:t>
      </w:r>
      <w:r w:rsidR="00DF26B3" w:rsidRPr="001D77EC">
        <w:rPr>
          <w:lang w:eastAsia="hr-HR"/>
        </w:rPr>
        <w:t xml:space="preserve"> as well. D</w:t>
      </w:r>
      <w:r w:rsidR="008E330C" w:rsidRPr="001D77EC">
        <w:rPr>
          <w:lang w:eastAsia="hr-HR"/>
        </w:rPr>
        <w:t xml:space="preserve">enote with </w:t>
      </w:r>
      <w:r w:rsidR="005F7970" w:rsidRPr="001D77EC">
        <w:rPr>
          <w:position w:val="-14"/>
          <w:lang w:eastAsia="hr-HR"/>
        </w:rPr>
        <w:object w:dxaOrig="5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19.7pt" o:ole="">
            <v:imagedata r:id="rId10" o:title=""/>
          </v:shape>
          <o:OLEObject Type="Embed" ProgID="Equation.DSMT4" ShapeID="_x0000_i1025" DrawAspect="Content" ObjectID="_1534532558" r:id="rId11"/>
        </w:object>
      </w:r>
      <w:r w:rsidR="008E330C" w:rsidRPr="001D77EC">
        <w:rPr>
          <w:lang w:eastAsia="hr-HR"/>
        </w:rPr>
        <w:t xml:space="preserve"> the volatility of </w:t>
      </w:r>
      <w:proofErr w:type="spellStart"/>
      <w:r w:rsidR="008E330C" w:rsidRPr="001D77EC">
        <w:rPr>
          <w:i/>
          <w:lang w:eastAsia="hr-HR"/>
        </w:rPr>
        <w:t>i</w:t>
      </w:r>
      <w:r w:rsidR="008E330C" w:rsidRPr="001D77EC">
        <w:rPr>
          <w:lang w:eastAsia="hr-HR"/>
        </w:rPr>
        <w:t>-th</w:t>
      </w:r>
      <w:proofErr w:type="spellEnd"/>
      <w:r w:rsidR="008E330C" w:rsidRPr="001D77EC">
        <w:rPr>
          <w:lang w:eastAsia="hr-HR"/>
        </w:rPr>
        <w:t xml:space="preserve"> return in state </w:t>
      </w:r>
      <w:proofErr w:type="gramStart"/>
      <w:r w:rsidR="008E330C" w:rsidRPr="001D77EC">
        <w:rPr>
          <w:i/>
          <w:lang w:eastAsia="hr-HR"/>
        </w:rPr>
        <w:t>s</w:t>
      </w:r>
      <w:r w:rsidR="008E330C" w:rsidRPr="001D77EC">
        <w:rPr>
          <w:lang w:eastAsia="hr-HR"/>
        </w:rPr>
        <w:t>(</w:t>
      </w:r>
      <w:proofErr w:type="gramEnd"/>
      <w:r w:rsidR="008E330C" w:rsidRPr="001D77EC">
        <w:rPr>
          <w:i/>
          <w:lang w:eastAsia="hr-HR"/>
        </w:rPr>
        <w:t>t</w:t>
      </w:r>
      <w:r w:rsidR="008E330C" w:rsidRPr="001D77EC">
        <w:rPr>
          <w:lang w:eastAsia="hr-HR"/>
        </w:rPr>
        <w:t xml:space="preserve">) in time </w:t>
      </w:r>
      <w:r w:rsidR="008E330C" w:rsidRPr="001D77EC">
        <w:rPr>
          <w:i/>
          <w:lang w:eastAsia="hr-HR"/>
        </w:rPr>
        <w:t>t</w:t>
      </w:r>
      <w:r w:rsidR="008E330C" w:rsidRPr="001D77EC">
        <w:rPr>
          <w:lang w:eastAsia="hr-HR"/>
        </w:rPr>
        <w:t xml:space="preserve">, </w:t>
      </w:r>
      <w:r w:rsidR="005F7970" w:rsidRPr="001D77EC">
        <w:rPr>
          <w:position w:val="-14"/>
          <w:lang w:eastAsia="hr-HR"/>
        </w:rPr>
        <w:object w:dxaOrig="1660" w:dyaOrig="400">
          <v:shape id="_x0000_i1026" type="#_x0000_t75" style="width:77.45pt;height:18.35pt" o:ole="">
            <v:imagedata r:id="rId12" o:title=""/>
          </v:shape>
          <o:OLEObject Type="Embed" ProgID="Equation.DSMT4" ShapeID="_x0000_i1026" DrawAspect="Content" ObjectID="_1534532559" r:id="rId13"/>
        </w:object>
      </w:r>
      <w:r w:rsidR="008E330C" w:rsidRPr="001D77EC">
        <w:rPr>
          <w:lang w:eastAsia="hr-HR"/>
        </w:rPr>
        <w:t xml:space="preserve">, </w:t>
      </w:r>
      <w:r w:rsidR="005F7970" w:rsidRPr="001D77EC">
        <w:rPr>
          <w:position w:val="-14"/>
          <w:lang w:eastAsia="hr-HR"/>
        </w:rPr>
        <w:object w:dxaOrig="1340" w:dyaOrig="400">
          <v:shape id="_x0000_i1027" type="#_x0000_t75" style="width:62.5pt;height:18.35pt" o:ole="">
            <v:imagedata r:id="rId14" o:title=""/>
          </v:shape>
          <o:OLEObject Type="Embed" ProgID="Equation.DSMT4" ShapeID="_x0000_i1027" DrawAspect="Content" ObjectID="_1534532560" r:id="rId15"/>
        </w:object>
      </w:r>
      <w:r w:rsidR="008E330C" w:rsidRPr="001D77EC">
        <w:rPr>
          <w:lang w:eastAsia="hr-HR"/>
        </w:rPr>
        <w:t xml:space="preserve">, </w:t>
      </w:r>
      <w:r w:rsidR="005F7970" w:rsidRPr="001D77EC">
        <w:rPr>
          <w:position w:val="-14"/>
          <w:lang w:eastAsia="hr-HR"/>
        </w:rPr>
        <w:object w:dxaOrig="1340" w:dyaOrig="400">
          <v:shape id="_x0000_i1028" type="#_x0000_t75" style="width:65.2pt;height:19pt" o:ole="">
            <v:imagedata r:id="rId16" o:title=""/>
          </v:shape>
          <o:OLEObject Type="Embed" ProgID="Equation.DSMT4" ShapeID="_x0000_i1028" DrawAspect="Content" ObjectID="_1534532561" r:id="rId17"/>
        </w:object>
      </w:r>
      <w:r w:rsidR="007628AB" w:rsidRPr="001D77EC">
        <w:rPr>
          <w:lang w:eastAsia="hr-HR"/>
        </w:rPr>
        <w:t xml:space="preserve">, </w:t>
      </w:r>
      <w:r w:rsidR="00D00D3A" w:rsidRPr="001D77EC">
        <w:rPr>
          <w:position w:val="-18"/>
          <w:lang w:eastAsia="hr-HR"/>
        </w:rPr>
        <w:object w:dxaOrig="2120" w:dyaOrig="480">
          <v:shape id="_x0000_i1029" type="#_x0000_t75" style="width:86.95pt;height:19.7pt" o:ole="">
            <v:imagedata r:id="rId18" o:title=""/>
          </v:shape>
          <o:OLEObject Type="Embed" ProgID="Equation.DSMT4" ShapeID="_x0000_i1029" DrawAspect="Content" ObjectID="_1534532562" r:id="rId19"/>
        </w:object>
      </w:r>
      <w:r w:rsidR="00DF26B3" w:rsidRPr="001D77EC">
        <w:rPr>
          <w:lang w:eastAsia="hr-HR"/>
        </w:rPr>
        <w:t xml:space="preserve"> return vector, </w:t>
      </w:r>
      <w:r w:rsidR="00D00D3A" w:rsidRPr="001D77EC">
        <w:rPr>
          <w:position w:val="-18"/>
          <w:lang w:eastAsia="hr-HR"/>
        </w:rPr>
        <w:object w:dxaOrig="2040" w:dyaOrig="480">
          <v:shape id="_x0000_i1030" type="#_x0000_t75" style="width:85.6pt;height:19.7pt" o:ole="">
            <v:imagedata r:id="rId20" o:title=""/>
          </v:shape>
          <o:OLEObject Type="Embed" ProgID="Equation.DSMT4" ShapeID="_x0000_i1030" DrawAspect="Content" ObjectID="_1534532563" r:id="rId21"/>
        </w:object>
      </w:r>
      <w:r w:rsidR="00DF26B3" w:rsidRPr="001D77EC">
        <w:rPr>
          <w:lang w:eastAsia="hr-HR"/>
        </w:rPr>
        <w:t xml:space="preserve"> conditional mean vector and </w:t>
      </w:r>
      <w:r w:rsidR="00D00D3A" w:rsidRPr="001D77EC">
        <w:rPr>
          <w:position w:val="-18"/>
          <w:lang w:eastAsia="hr-HR"/>
        </w:rPr>
        <w:object w:dxaOrig="1939" w:dyaOrig="480">
          <v:shape id="_x0000_i1031" type="#_x0000_t75" style="width:82.2pt;height:19.7pt" o:ole="">
            <v:imagedata r:id="rId22" o:title=""/>
          </v:shape>
          <o:OLEObject Type="Embed" ProgID="Equation.DSMT4" ShapeID="_x0000_i1031" DrawAspect="Content" ObjectID="_1534532564" r:id="rId23"/>
        </w:object>
      </w:r>
      <w:r w:rsidR="00DF26B3" w:rsidRPr="001D77EC">
        <w:rPr>
          <w:lang w:eastAsia="hr-HR"/>
        </w:rPr>
        <w:t xml:space="preserve"> residual vector. The main model </w:t>
      </w:r>
      <w:r w:rsidR="0003677E" w:rsidRPr="001D77EC">
        <w:rPr>
          <w:lang w:eastAsia="hr-HR"/>
        </w:rPr>
        <w:t>is defined as:</w:t>
      </w:r>
    </w:p>
    <w:p w:rsidR="0003677E" w:rsidRPr="001D77EC" w:rsidRDefault="0003677E" w:rsidP="0003677E">
      <w:pPr>
        <w:pStyle w:val="MTDisplayEquation"/>
      </w:pPr>
      <w:r w:rsidRPr="001D77EC">
        <w:tab/>
      </w:r>
      <w:r w:rsidRPr="001D77EC">
        <w:rPr>
          <w:position w:val="-32"/>
        </w:rPr>
        <w:object w:dxaOrig="1660" w:dyaOrig="760">
          <v:shape id="_x0000_i1032" type="#_x0000_t75" style="width:82.85pt;height:38.05pt" o:ole="">
            <v:imagedata r:id="rId24" o:title=""/>
          </v:shape>
          <o:OLEObject Type="Embed" ProgID="Equation.DSMT4" ShapeID="_x0000_i1032" DrawAspect="Content" ObjectID="_1534532565" r:id="rId25"/>
        </w:object>
      </w:r>
      <w:r w:rsidRPr="001D77EC">
        <w:tab/>
        <w:t>(1)</w:t>
      </w:r>
    </w:p>
    <w:p w:rsidR="007135D8" w:rsidRPr="001D77EC" w:rsidRDefault="0003677E" w:rsidP="00C60225">
      <w:pPr>
        <w:jc w:val="both"/>
        <w:rPr>
          <w:lang w:eastAsia="hr-HR"/>
        </w:rPr>
      </w:pPr>
      <w:proofErr w:type="gramStart"/>
      <w:r w:rsidRPr="001D77EC">
        <w:rPr>
          <w:lang w:eastAsia="hr-HR"/>
        </w:rPr>
        <w:t>with</w:t>
      </w:r>
      <w:proofErr w:type="gramEnd"/>
      <w:r w:rsidRPr="001D77EC">
        <w:rPr>
          <w:lang w:eastAsia="hr-HR"/>
        </w:rPr>
        <w:t xml:space="preserve"> </w:t>
      </w:r>
      <w:r w:rsidR="005F7970" w:rsidRPr="001D77EC">
        <w:rPr>
          <w:position w:val="-14"/>
          <w:lang w:eastAsia="hr-HR"/>
        </w:rPr>
        <w:object w:dxaOrig="1100" w:dyaOrig="400">
          <v:shape id="_x0000_i1033" type="#_x0000_t75" style="width:50.95pt;height:18.35pt" o:ole="">
            <v:imagedata r:id="rId26" o:title=""/>
          </v:shape>
          <o:OLEObject Type="Embed" ProgID="Equation.DSMT4" ShapeID="_x0000_i1033" DrawAspect="Content" ObjectID="_1534532566" r:id="rId27"/>
        </w:object>
      </w:r>
      <w:r w:rsidR="007628AB" w:rsidRPr="001D77EC">
        <w:rPr>
          <w:lang w:eastAsia="hr-HR"/>
        </w:rPr>
        <w:t xml:space="preserve"> and</w:t>
      </w:r>
      <w:r w:rsidRPr="001D77EC">
        <w:rPr>
          <w:lang w:eastAsia="hr-HR"/>
        </w:rPr>
        <w:t xml:space="preserve"> </w:t>
      </w:r>
    </w:p>
    <w:p w:rsidR="007135D8" w:rsidRPr="001D77EC" w:rsidRDefault="007135D8" w:rsidP="007135D8">
      <w:pPr>
        <w:pStyle w:val="MTDisplayEquation"/>
      </w:pPr>
      <w:r w:rsidRPr="001D77EC">
        <w:tab/>
      </w:r>
      <w:r w:rsidR="00000157" w:rsidRPr="001D77EC">
        <w:rPr>
          <w:position w:val="-46"/>
        </w:rPr>
        <w:object w:dxaOrig="4780" w:dyaOrig="1040">
          <v:shape id="_x0000_i1034" type="#_x0000_t75" style="width:233pt;height:50.95pt" o:ole="">
            <v:imagedata r:id="rId28" o:title=""/>
          </v:shape>
          <o:OLEObject Type="Embed" ProgID="Equation.DSMT4" ShapeID="_x0000_i1034" DrawAspect="Content" ObjectID="_1534532567" r:id="rId29"/>
        </w:object>
      </w:r>
      <w:r w:rsidR="007628AB" w:rsidRPr="001D77EC">
        <w:t>.</w:t>
      </w:r>
      <w:r w:rsidR="00C60225" w:rsidRPr="001D77EC">
        <w:t xml:space="preserve">  </w:t>
      </w:r>
      <w:r w:rsidRPr="001D77EC">
        <w:tab/>
        <w:t>(2)</w:t>
      </w:r>
    </w:p>
    <w:p w:rsidR="007135D8" w:rsidRPr="001D77EC" w:rsidRDefault="007628AB" w:rsidP="00C60225">
      <w:pPr>
        <w:jc w:val="both"/>
        <w:rPr>
          <w:lang w:eastAsia="hr-HR"/>
        </w:rPr>
      </w:pPr>
      <w:r w:rsidRPr="001D77EC">
        <w:rPr>
          <w:lang w:eastAsia="hr-HR"/>
        </w:rPr>
        <w:t>I</w:t>
      </w:r>
      <w:r w:rsidR="00C60225" w:rsidRPr="001D77EC">
        <w:rPr>
          <w:lang w:eastAsia="hr-HR"/>
        </w:rPr>
        <w:t xml:space="preserve">ndividual volatilities are modeled as a </w:t>
      </w:r>
      <w:proofErr w:type="gramStart"/>
      <w:r w:rsidR="00C60225" w:rsidRPr="001D77EC">
        <w:rPr>
          <w:lang w:eastAsia="hr-HR"/>
        </w:rPr>
        <w:t>GARCH(</w:t>
      </w:r>
      <w:proofErr w:type="gramEnd"/>
      <w:r w:rsidR="00C60225" w:rsidRPr="001D77EC">
        <w:rPr>
          <w:lang w:eastAsia="hr-HR"/>
        </w:rPr>
        <w:t xml:space="preserve">1,1) processes in each regime </w:t>
      </w:r>
      <w:r w:rsidR="005F7970" w:rsidRPr="001D77EC">
        <w:rPr>
          <w:position w:val="-18"/>
          <w:lang w:eastAsia="hr-HR"/>
        </w:rPr>
        <w:object w:dxaOrig="4740" w:dyaOrig="480">
          <v:shape id="_x0000_i1035" type="#_x0000_t75" style="width:233pt;height:23.1pt" o:ole="">
            <v:imagedata r:id="rId30" o:title=""/>
          </v:shape>
          <o:OLEObject Type="Embed" ProgID="Equation.DSMT4" ShapeID="_x0000_i1035" DrawAspect="Content" ObjectID="_1534532568" r:id="rId31"/>
        </w:object>
      </w:r>
      <w:r w:rsidR="00352FC9" w:rsidRPr="001D77EC">
        <w:rPr>
          <w:lang w:eastAsia="hr-HR"/>
        </w:rPr>
        <w:t xml:space="preserve"> </w:t>
      </w:r>
      <w:r w:rsidR="00C60225" w:rsidRPr="001D77EC">
        <w:rPr>
          <w:lang w:eastAsia="hr-HR"/>
        </w:rPr>
        <w:t xml:space="preserve">and it is assumed </w:t>
      </w:r>
      <w:r w:rsidR="00446EE9" w:rsidRPr="001D77EC">
        <w:rPr>
          <w:lang w:eastAsia="hr-HR"/>
        </w:rPr>
        <w:t>that</w:t>
      </w:r>
      <w:r w:rsidR="005F7970" w:rsidRPr="001D77EC">
        <w:rPr>
          <w:position w:val="-14"/>
          <w:lang w:eastAsia="hr-HR"/>
        </w:rPr>
        <w:object w:dxaOrig="2720" w:dyaOrig="400">
          <v:shape id="_x0000_i1036" type="#_x0000_t75" style="width:131.75pt;height:19pt" o:ole="">
            <v:imagedata r:id="rId32" o:title=""/>
          </v:shape>
          <o:OLEObject Type="Embed" ProgID="Equation.DSMT4" ShapeID="_x0000_i1036" DrawAspect="Content" ObjectID="_1534532569" r:id="rId33"/>
        </w:object>
      </w:r>
      <w:r w:rsidR="00687A01" w:rsidRPr="001D77EC">
        <w:rPr>
          <w:lang w:eastAsia="hr-HR"/>
        </w:rPr>
        <w:t xml:space="preserve">, </w:t>
      </w:r>
      <w:r w:rsidR="005F7970" w:rsidRPr="001D77EC">
        <w:rPr>
          <w:position w:val="-14"/>
          <w:lang w:eastAsia="hr-HR"/>
        </w:rPr>
        <w:object w:dxaOrig="1520" w:dyaOrig="400">
          <v:shape id="_x0000_i1037" type="#_x0000_t75" style="width:67.25pt;height:17.65pt" o:ole="">
            <v:imagedata r:id="rId34" o:title=""/>
          </v:shape>
          <o:OLEObject Type="Embed" ProgID="Equation.DSMT4" ShapeID="_x0000_i1037" DrawAspect="Content" ObjectID="_1534532570" r:id="rId35"/>
        </w:object>
      </w:r>
      <w:r w:rsidR="00656381" w:rsidRPr="001D77EC">
        <w:rPr>
          <w:lang w:eastAsia="hr-HR"/>
        </w:rPr>
        <w:t xml:space="preserve">, </w:t>
      </w:r>
      <w:r w:rsidR="00000157" w:rsidRPr="00000157">
        <w:rPr>
          <w:position w:val="-18"/>
          <w:lang w:eastAsia="hr-HR"/>
        </w:rPr>
        <w:object w:dxaOrig="2620" w:dyaOrig="499">
          <v:shape id="_x0000_i1062" type="#_x0000_t75" style="width:120.9pt;height:23.1pt" o:ole="">
            <v:imagedata r:id="rId36" o:title=""/>
          </v:shape>
          <o:OLEObject Type="Embed" ProgID="Equation.DSMT4" ShapeID="_x0000_i1062" DrawAspect="Content" ObjectID="_1534532571" r:id="rId37"/>
        </w:object>
      </w:r>
      <w:r w:rsidR="00C60225" w:rsidRPr="001D77EC">
        <w:rPr>
          <w:lang w:eastAsia="hr-HR"/>
        </w:rPr>
        <w:t>.</w:t>
      </w:r>
      <w:r w:rsidR="00352FC9" w:rsidRPr="001D77EC">
        <w:rPr>
          <w:lang w:eastAsia="hr-HR"/>
        </w:rPr>
        <w:t xml:space="preserve"> </w:t>
      </w:r>
      <w:r w:rsidRPr="001D77EC">
        <w:rPr>
          <w:lang w:eastAsia="hr-HR"/>
        </w:rPr>
        <w:t xml:space="preserve">This setup allows doing a two-stage estimation (using maximum likelihood method). </w:t>
      </w:r>
      <w:r w:rsidR="004D7012" w:rsidRPr="001D77EC">
        <w:rPr>
          <w:lang w:eastAsia="hr-HR"/>
        </w:rPr>
        <w:t>First of all, return series are filtered by an adequate ARMA(</w:t>
      </w:r>
      <w:r w:rsidR="004D7012" w:rsidRPr="001D77EC">
        <w:rPr>
          <w:i/>
          <w:lang w:eastAsia="hr-HR"/>
        </w:rPr>
        <w:t>p</w:t>
      </w:r>
      <w:r w:rsidR="004D7012" w:rsidRPr="001D77EC">
        <w:rPr>
          <w:lang w:eastAsia="hr-HR"/>
        </w:rPr>
        <w:t>,</w:t>
      </w:r>
      <w:r w:rsidR="004D7012" w:rsidRPr="001D77EC">
        <w:rPr>
          <w:i/>
          <w:lang w:eastAsia="hr-HR"/>
        </w:rPr>
        <w:t>q</w:t>
      </w:r>
      <w:r w:rsidR="004D7012" w:rsidRPr="001D77EC">
        <w:rPr>
          <w:lang w:eastAsia="hr-HR"/>
        </w:rPr>
        <w:t>) model.</w:t>
      </w:r>
      <w:r w:rsidR="00352FC9" w:rsidRPr="001D77EC">
        <w:rPr>
          <w:lang w:eastAsia="hr-HR"/>
        </w:rPr>
        <w:t xml:space="preserve"> Then the two-step procedure is as follows.</w:t>
      </w:r>
      <w:r w:rsidR="004D7012" w:rsidRPr="001D77EC">
        <w:rPr>
          <w:lang w:eastAsia="hr-HR"/>
        </w:rPr>
        <w:t xml:space="preserve"> </w:t>
      </w:r>
      <w:r w:rsidRPr="001D77EC">
        <w:rPr>
          <w:lang w:eastAsia="hr-HR"/>
        </w:rPr>
        <w:t>In the first step, univariate regime switching models are estimated</w:t>
      </w:r>
      <w:r w:rsidR="00352FC9" w:rsidRPr="001D77EC">
        <w:rPr>
          <w:lang w:eastAsia="hr-HR"/>
        </w:rPr>
        <w:t xml:space="preserve"> and the coefficients are obtained. These coefficients are fixed in the second step in which rest of the parameters in the model are estimated. Details on maximum likelihood estimation of this model are given in </w:t>
      </w:r>
      <w:r w:rsidR="00A46397" w:rsidRPr="001D77EC">
        <w:rPr>
          <w:lang w:eastAsia="hr-HR"/>
        </w:rPr>
        <w:t xml:space="preserve">Chen </w:t>
      </w:r>
      <w:r w:rsidR="00A46397">
        <w:rPr>
          <w:lang w:eastAsia="hr-HR"/>
        </w:rPr>
        <w:t>[12:26-27]</w:t>
      </w:r>
      <w:r w:rsidR="00352FC9" w:rsidRPr="001D77EC">
        <w:rPr>
          <w:lang w:eastAsia="hr-HR"/>
        </w:rPr>
        <w:t xml:space="preserve">. </w:t>
      </w:r>
      <w:r w:rsidR="00687A01" w:rsidRPr="001D77EC">
        <w:rPr>
          <w:lang w:eastAsia="hr-HR"/>
        </w:rPr>
        <w:t xml:space="preserve">We state the stationary condition for the each regime switching process, while details are given in </w:t>
      </w:r>
      <w:r w:rsidR="00A46397" w:rsidRPr="001D77EC">
        <w:rPr>
          <w:lang w:eastAsia="hr-HR"/>
        </w:rPr>
        <w:t xml:space="preserve">Chen </w:t>
      </w:r>
      <w:r w:rsidR="00A46397">
        <w:rPr>
          <w:lang w:eastAsia="hr-HR"/>
        </w:rPr>
        <w:t xml:space="preserve">[12:27-28] </w:t>
      </w:r>
      <w:r w:rsidR="00687A01" w:rsidRPr="001D77EC">
        <w:rPr>
          <w:lang w:eastAsia="hr-HR"/>
        </w:rPr>
        <w:t xml:space="preserve">and </w:t>
      </w:r>
      <w:r w:rsidR="00C57448">
        <w:rPr>
          <w:lang w:eastAsia="hr-HR"/>
        </w:rPr>
        <w:t xml:space="preserve">Haas, </w:t>
      </w:r>
      <w:proofErr w:type="spellStart"/>
      <w:r w:rsidR="00C57448">
        <w:rPr>
          <w:lang w:eastAsia="hr-HR"/>
        </w:rPr>
        <w:t>Mittnik</w:t>
      </w:r>
      <w:proofErr w:type="spellEnd"/>
      <w:r w:rsidR="00C57448">
        <w:rPr>
          <w:lang w:eastAsia="hr-HR"/>
        </w:rPr>
        <w:t xml:space="preserve"> and </w:t>
      </w:r>
      <w:proofErr w:type="spellStart"/>
      <w:r w:rsidR="00C57448">
        <w:rPr>
          <w:lang w:eastAsia="hr-HR"/>
        </w:rPr>
        <w:t>Paollela</w:t>
      </w:r>
      <w:proofErr w:type="spellEnd"/>
      <w:r w:rsidR="00C57448">
        <w:rPr>
          <w:lang w:eastAsia="hr-HR"/>
        </w:rPr>
        <w:t xml:space="preserve"> [20</w:t>
      </w:r>
      <w:r w:rsidR="00687A01" w:rsidRPr="001D77EC">
        <w:rPr>
          <w:lang w:eastAsia="hr-HR"/>
        </w:rPr>
        <w:t>:500-501</w:t>
      </w:r>
      <w:r w:rsidR="00C57448">
        <w:rPr>
          <w:lang w:eastAsia="hr-HR"/>
        </w:rPr>
        <w:t>]</w:t>
      </w:r>
      <w:r w:rsidR="00687A01" w:rsidRPr="001D77EC">
        <w:rPr>
          <w:lang w:eastAsia="hr-HR"/>
        </w:rPr>
        <w:t xml:space="preserve">. Consider </w:t>
      </w:r>
      <w:r w:rsidR="00F13D96" w:rsidRPr="001D77EC">
        <w:rPr>
          <w:lang w:eastAsia="hr-HR"/>
        </w:rPr>
        <w:t>the matrix</w:t>
      </w:r>
    </w:p>
    <w:p w:rsidR="007135D8" w:rsidRPr="001D77EC" w:rsidRDefault="007135D8" w:rsidP="007135D8">
      <w:pPr>
        <w:pStyle w:val="MTDisplayEquation"/>
      </w:pPr>
      <w:r w:rsidRPr="001D77EC">
        <w:tab/>
      </w:r>
      <w:r w:rsidR="00F13D96" w:rsidRPr="001D77EC">
        <w:t xml:space="preserve"> </w:t>
      </w:r>
      <w:r w:rsidR="00000157" w:rsidRPr="001D77EC">
        <w:rPr>
          <w:position w:val="-68"/>
        </w:rPr>
        <w:object w:dxaOrig="2960" w:dyaOrig="1480">
          <v:shape id="_x0000_i1038" type="#_x0000_t75" style="width:139.25pt;height:69.95pt" o:ole="">
            <v:imagedata r:id="rId38" o:title=""/>
          </v:shape>
          <o:OLEObject Type="Embed" ProgID="Equation.DSMT4" ShapeID="_x0000_i1038" DrawAspect="Content" ObjectID="_1534532572" r:id="rId39"/>
        </w:object>
      </w:r>
      <w:r w:rsidRPr="001D77EC">
        <w:t>,</w:t>
      </w:r>
      <w:r w:rsidRPr="001D77EC">
        <w:tab/>
        <w:t>(3)</w:t>
      </w:r>
    </w:p>
    <w:p w:rsidR="008274E3" w:rsidRPr="001D77EC" w:rsidRDefault="007135D8" w:rsidP="008274E3">
      <w:pPr>
        <w:jc w:val="both"/>
        <w:rPr>
          <w:lang w:eastAsia="hr-HR"/>
        </w:rPr>
      </w:pPr>
      <w:r w:rsidRPr="001D77EC">
        <w:rPr>
          <w:lang w:eastAsia="hr-HR"/>
        </w:rPr>
        <w:t xml:space="preserve"> </w:t>
      </w:r>
      <w:proofErr w:type="gramStart"/>
      <w:r w:rsidRPr="001D77EC">
        <w:rPr>
          <w:lang w:eastAsia="hr-HR"/>
        </w:rPr>
        <w:t>where</w:t>
      </w:r>
      <w:r w:rsidR="00687A01" w:rsidRPr="001D77EC">
        <w:rPr>
          <w:lang w:eastAsia="hr-HR"/>
        </w:rPr>
        <w:t xml:space="preserve"> </w:t>
      </w:r>
      <w:proofErr w:type="gramEnd"/>
      <w:r w:rsidR="00D00D3A" w:rsidRPr="001D77EC">
        <w:rPr>
          <w:position w:val="-18"/>
          <w:lang w:eastAsia="hr-HR"/>
        </w:rPr>
        <w:object w:dxaOrig="1920" w:dyaOrig="480">
          <v:shape id="_x0000_i1039" type="#_x0000_t75" style="width:84.25pt;height:21.05pt" o:ole="">
            <v:imagedata r:id="rId40" o:title=""/>
          </v:shape>
          <o:OLEObject Type="Embed" ProgID="Equation.DSMT4" ShapeID="_x0000_i1039" DrawAspect="Content" ObjectID="_1534532573" r:id="rId41"/>
        </w:object>
      </w:r>
      <w:r w:rsidR="00687A01" w:rsidRPr="001D77EC">
        <w:rPr>
          <w:lang w:eastAsia="hr-HR"/>
        </w:rPr>
        <w:t xml:space="preserve">, </w:t>
      </w:r>
      <w:r w:rsidR="00D00D3A" w:rsidRPr="001D77EC">
        <w:rPr>
          <w:position w:val="-18"/>
          <w:lang w:eastAsia="hr-HR"/>
        </w:rPr>
        <w:object w:dxaOrig="2740" w:dyaOrig="480">
          <v:shape id="_x0000_i1040" type="#_x0000_t75" style="width:125.65pt;height:21.75pt" o:ole="">
            <v:imagedata r:id="rId42" o:title=""/>
          </v:shape>
          <o:OLEObject Type="Embed" ProgID="Equation.DSMT4" ShapeID="_x0000_i1040" DrawAspect="Content" ObjectID="_1534532574" r:id="rId43"/>
        </w:object>
      </w:r>
      <w:r w:rsidR="00687A01" w:rsidRPr="001D77EC">
        <w:rPr>
          <w:lang w:eastAsia="hr-HR"/>
        </w:rPr>
        <w:t xml:space="preserve"> </w:t>
      </w:r>
      <w:r w:rsidR="00D00D3A" w:rsidRPr="001D77EC">
        <w:rPr>
          <w:position w:val="-18"/>
          <w:lang w:eastAsia="hr-HR"/>
        </w:rPr>
        <w:object w:dxaOrig="2720" w:dyaOrig="480">
          <v:shape id="_x0000_i1041" type="#_x0000_t75" style="width:122.95pt;height:21.05pt" o:ole="">
            <v:imagedata r:id="rId44" o:title=""/>
          </v:shape>
          <o:OLEObject Type="Embed" ProgID="Equation.DSMT4" ShapeID="_x0000_i1041" DrawAspect="Content" ObjectID="_1534532575" r:id="rId45"/>
        </w:object>
      </w:r>
      <w:r w:rsidR="00687A01" w:rsidRPr="001D77EC">
        <w:rPr>
          <w:lang w:eastAsia="hr-HR"/>
        </w:rPr>
        <w:t>,</w:t>
      </w:r>
      <w:r w:rsidR="00F13D96" w:rsidRPr="001D77EC">
        <w:rPr>
          <w:lang w:eastAsia="hr-HR"/>
        </w:rPr>
        <w:t xml:space="preserve"> and </w:t>
      </w:r>
      <w:r w:rsidR="00F13D96" w:rsidRPr="001D77EC">
        <w:rPr>
          <w:position w:val="-12"/>
          <w:lang w:eastAsia="hr-HR"/>
        </w:rPr>
        <w:object w:dxaOrig="220" w:dyaOrig="400">
          <v:shape id="_x0000_i1042" type="#_x0000_t75" style="width:10.85pt;height:19.7pt" o:ole="">
            <v:imagedata r:id="rId46" o:title=""/>
          </v:shape>
          <o:OLEObject Type="Embed" ProgID="Equation.DSMT4" ShapeID="_x0000_i1042" DrawAspect="Content" ObjectID="_1534532576" r:id="rId47"/>
        </w:object>
      </w:r>
      <w:r w:rsidR="00F13D96" w:rsidRPr="001D77EC">
        <w:rPr>
          <w:lang w:eastAsia="hr-HR"/>
        </w:rPr>
        <w:t xml:space="preserve"> is a </w:t>
      </w:r>
      <w:r w:rsidR="00F13D96" w:rsidRPr="001D77EC">
        <w:rPr>
          <w:i/>
          <w:lang w:eastAsia="hr-HR"/>
        </w:rPr>
        <w:t>k</w:t>
      </w:r>
      <w:r w:rsidR="00F13D96" w:rsidRPr="001D77EC">
        <w:rPr>
          <w:position w:val="-4"/>
          <w:lang w:eastAsia="hr-HR"/>
        </w:rPr>
        <w:object w:dxaOrig="180" w:dyaOrig="200">
          <v:shape id="_x0000_i1043" type="#_x0000_t75" style="width:8.85pt;height:10.2pt" o:ole="">
            <v:imagedata r:id="rId48" o:title=""/>
          </v:shape>
          <o:OLEObject Type="Embed" ProgID="Equation.DSMT4" ShapeID="_x0000_i1043" DrawAspect="Content" ObjectID="_1534532577" r:id="rId49"/>
        </w:object>
      </w:r>
      <w:r w:rsidR="00F13D96" w:rsidRPr="001D77EC">
        <w:rPr>
          <w:lang w:eastAsia="hr-HR"/>
        </w:rPr>
        <w:t>1 unit vector</w:t>
      </w:r>
      <w:r w:rsidR="00D00D3A">
        <w:rPr>
          <w:lang w:eastAsia="hr-HR"/>
        </w:rPr>
        <w:t xml:space="preserve">, </w:t>
      </w:r>
      <w:r w:rsidR="00D00D3A" w:rsidRPr="001D77EC">
        <w:rPr>
          <w:position w:val="-14"/>
          <w:lang w:eastAsia="hr-HR"/>
        </w:rPr>
        <w:object w:dxaOrig="1700" w:dyaOrig="400">
          <v:shape id="_x0000_i1063" type="#_x0000_t75" style="width:84.9pt;height:19.7pt" o:ole="">
            <v:imagedata r:id="rId50" o:title=""/>
          </v:shape>
          <o:OLEObject Type="Embed" ProgID="Equation.DSMT4" ShapeID="_x0000_i1063" DrawAspect="Content" ObjectID="_1534532578" r:id="rId51"/>
        </w:object>
      </w:r>
      <w:r w:rsidR="00F13D96" w:rsidRPr="001D77EC">
        <w:rPr>
          <w:lang w:eastAsia="hr-HR"/>
        </w:rPr>
        <w:t>. The model is stationary if the largest eigenvalue of</w:t>
      </w:r>
      <w:r w:rsidRPr="001D77EC">
        <w:rPr>
          <w:lang w:eastAsia="hr-HR"/>
        </w:rPr>
        <w:t xml:space="preserve"> </w:t>
      </w:r>
      <w:r w:rsidRPr="001D77EC">
        <w:rPr>
          <w:b/>
          <w:i/>
          <w:lang w:eastAsia="hr-HR"/>
        </w:rPr>
        <w:t>M</w:t>
      </w:r>
      <w:r w:rsidRPr="001D77EC">
        <w:rPr>
          <w:lang w:eastAsia="hr-HR"/>
        </w:rPr>
        <w:t xml:space="preserve">, </w:t>
      </w:r>
      <w:proofErr w:type="spellStart"/>
      <w:proofErr w:type="gramStart"/>
      <w:r w:rsidRPr="001D77EC">
        <w:rPr>
          <w:lang w:eastAsia="hr-HR"/>
        </w:rPr>
        <w:t>eig</w:t>
      </w:r>
      <w:proofErr w:type="spellEnd"/>
      <w:r w:rsidRPr="001D77EC">
        <w:rPr>
          <w:lang w:eastAsia="hr-HR"/>
        </w:rPr>
        <w:t>(</w:t>
      </w:r>
      <w:proofErr w:type="gramEnd"/>
      <w:r w:rsidRPr="001D77EC">
        <w:rPr>
          <w:b/>
          <w:i/>
          <w:lang w:eastAsia="hr-HR"/>
        </w:rPr>
        <w:t>M</w:t>
      </w:r>
      <w:r w:rsidRPr="001D77EC">
        <w:rPr>
          <w:lang w:eastAsia="hr-HR"/>
        </w:rPr>
        <w:t>)</w:t>
      </w:r>
      <w:r w:rsidR="00DA14AF" w:rsidRPr="001D77EC">
        <w:rPr>
          <w:lang w:eastAsia="hr-HR"/>
        </w:rPr>
        <w:t>,</w:t>
      </w:r>
      <w:r w:rsidRPr="001D77EC">
        <w:rPr>
          <w:lang w:eastAsia="hr-HR"/>
        </w:rPr>
        <w:t xml:space="preserve"> is less than one.</w:t>
      </w:r>
      <w:r w:rsidR="00725FB1" w:rsidRPr="001D77EC">
        <w:rPr>
          <w:lang w:eastAsia="hr-HR"/>
        </w:rPr>
        <w:t xml:space="preserve"> </w:t>
      </w:r>
      <w:proofErr w:type="spellStart"/>
      <w:r w:rsidR="00725FB1" w:rsidRPr="001D77EC">
        <w:rPr>
          <w:lang w:eastAsia="hr-HR"/>
        </w:rPr>
        <w:t>Ang</w:t>
      </w:r>
      <w:proofErr w:type="spellEnd"/>
      <w:r w:rsidR="00725FB1" w:rsidRPr="001D77EC">
        <w:rPr>
          <w:lang w:eastAsia="hr-HR"/>
        </w:rPr>
        <w:t xml:space="preserve"> and </w:t>
      </w:r>
      <w:proofErr w:type="spellStart"/>
      <w:r w:rsidR="00725FB1" w:rsidRPr="001D77EC">
        <w:rPr>
          <w:lang w:eastAsia="hr-HR"/>
        </w:rPr>
        <w:t>Bekaert</w:t>
      </w:r>
      <w:proofErr w:type="spellEnd"/>
      <w:r w:rsidR="00725FB1" w:rsidRPr="001D77EC">
        <w:rPr>
          <w:lang w:eastAsia="hr-HR"/>
        </w:rPr>
        <w:t xml:space="preserve"> (2000) defined a regime classification measure which shows how good </w:t>
      </w:r>
      <w:r w:rsidR="008274E3" w:rsidRPr="001D77EC">
        <w:rPr>
          <w:lang w:eastAsia="hr-HR"/>
        </w:rPr>
        <w:t>does the chosen regime switching model classify observations of a process</w:t>
      </w:r>
      <w:proofErr w:type="gramStart"/>
      <w:r w:rsidR="008274E3" w:rsidRPr="001D77EC">
        <w:rPr>
          <w:lang w:eastAsia="hr-HR"/>
        </w:rPr>
        <w:t>:</w:t>
      </w:r>
      <w:r w:rsidR="00D00D3A">
        <w:rPr>
          <w:lang w:eastAsia="hr-HR"/>
        </w:rPr>
        <w:t xml:space="preserve"> </w:t>
      </w:r>
      <w:r w:rsidR="00000157" w:rsidRPr="001D77EC">
        <w:rPr>
          <w:position w:val="-32"/>
        </w:rPr>
        <w:object w:dxaOrig="2860" w:dyaOrig="760">
          <v:shape id="_x0000_i1044" type="#_x0000_t75" style="width:131.75pt;height:34.65pt" o:ole="">
            <v:imagedata r:id="rId52" o:title=""/>
          </v:shape>
          <o:OLEObject Type="Embed" ProgID="Equation.DSMT4" ShapeID="_x0000_i1044" DrawAspect="Content" ObjectID="_1534532579" r:id="rId53"/>
        </w:object>
      </w:r>
      <w:r w:rsidR="00E63216">
        <w:t>,</w:t>
      </w:r>
      <w:r w:rsidR="008274E3" w:rsidRPr="001D77EC">
        <w:rPr>
          <w:lang w:eastAsia="hr-HR"/>
        </w:rPr>
        <w:t>where</w:t>
      </w:r>
      <w:proofErr w:type="gramEnd"/>
      <w:r w:rsidR="008274E3" w:rsidRPr="001D77EC">
        <w:rPr>
          <w:lang w:eastAsia="hr-HR"/>
        </w:rPr>
        <w:t xml:space="preserve"> </w:t>
      </w:r>
      <w:proofErr w:type="spellStart"/>
      <w:r w:rsidR="008274E3" w:rsidRPr="00F4100C">
        <w:rPr>
          <w:i/>
          <w:lang w:eastAsia="hr-HR"/>
        </w:rPr>
        <w:t>p</w:t>
      </w:r>
      <w:r w:rsidR="008274E3" w:rsidRPr="00F4100C">
        <w:rPr>
          <w:i/>
          <w:vertAlign w:val="subscript"/>
          <w:lang w:eastAsia="hr-HR"/>
        </w:rPr>
        <w:t>i</w:t>
      </w:r>
      <w:r w:rsidR="008274E3" w:rsidRPr="00F4100C">
        <w:rPr>
          <w:vertAlign w:val="subscript"/>
          <w:lang w:eastAsia="hr-HR"/>
        </w:rPr>
        <w:t>,</w:t>
      </w:r>
      <w:r w:rsidR="008274E3" w:rsidRPr="00F4100C">
        <w:rPr>
          <w:i/>
          <w:vertAlign w:val="subscript"/>
          <w:lang w:eastAsia="hr-HR"/>
        </w:rPr>
        <w:t>t</w:t>
      </w:r>
      <w:proofErr w:type="spellEnd"/>
      <w:r w:rsidR="008274E3" w:rsidRPr="001D77EC">
        <w:rPr>
          <w:lang w:eastAsia="hr-HR"/>
        </w:rPr>
        <w:t xml:space="preserve"> is the smoothed regime probability. It is a normalized measure (ranging from 0 to 100)</w:t>
      </w:r>
      <w:r w:rsidR="00F4100C" w:rsidRPr="001D77EC">
        <w:rPr>
          <w:lang w:eastAsia="hr-HR"/>
        </w:rPr>
        <w:t>;</w:t>
      </w:r>
      <w:r w:rsidR="008274E3" w:rsidRPr="001D77EC">
        <w:rPr>
          <w:lang w:eastAsia="hr-HR"/>
        </w:rPr>
        <w:t xml:space="preserve"> with the lower values of it meaning that the model is more successful in regime classification. This measure will be used in this study.</w:t>
      </w:r>
    </w:p>
    <w:p w:rsidR="005D4E26" w:rsidRPr="00953E14" w:rsidRDefault="005D4E26" w:rsidP="00953E14">
      <w:pPr>
        <w:jc w:val="both"/>
        <w:rPr>
          <w:b/>
          <w:bCs/>
          <w:sz w:val="18"/>
        </w:rPr>
      </w:pPr>
    </w:p>
    <w:p w:rsidR="00C956C2" w:rsidRPr="001D77EC" w:rsidRDefault="005D4E26" w:rsidP="00C956C2">
      <w:pPr>
        <w:autoSpaceDE w:val="0"/>
        <w:autoSpaceDN w:val="0"/>
        <w:adjustRightInd w:val="0"/>
        <w:rPr>
          <w:b/>
          <w:sz w:val="28"/>
          <w:szCs w:val="28"/>
          <w:lang w:eastAsia="hr-HR"/>
        </w:rPr>
      </w:pPr>
      <w:r w:rsidRPr="001D77EC">
        <w:rPr>
          <w:b/>
          <w:sz w:val="28"/>
          <w:szCs w:val="28"/>
          <w:lang w:eastAsia="hr-HR"/>
        </w:rPr>
        <w:t xml:space="preserve">4. Empirical </w:t>
      </w:r>
      <w:r w:rsidR="00687A01" w:rsidRPr="001D77EC">
        <w:rPr>
          <w:b/>
          <w:sz w:val="28"/>
          <w:szCs w:val="28"/>
          <w:lang w:eastAsia="hr-HR"/>
        </w:rPr>
        <w:t>results</w:t>
      </w:r>
    </w:p>
    <w:p w:rsidR="005D4E26" w:rsidRPr="00953E14" w:rsidRDefault="005D4E26" w:rsidP="005D4E26">
      <w:pPr>
        <w:jc w:val="both"/>
        <w:rPr>
          <w:b/>
          <w:bCs/>
          <w:sz w:val="18"/>
        </w:rPr>
      </w:pPr>
    </w:p>
    <w:p w:rsidR="00357B56" w:rsidRPr="001D77EC" w:rsidRDefault="00D477AC" w:rsidP="00357B56">
      <w:pPr>
        <w:autoSpaceDE w:val="0"/>
        <w:autoSpaceDN w:val="0"/>
        <w:adjustRightInd w:val="0"/>
        <w:jc w:val="both"/>
        <w:rPr>
          <w:lang w:eastAsia="hr-HR"/>
        </w:rPr>
      </w:pPr>
      <w:r w:rsidRPr="001D77EC">
        <w:rPr>
          <w:lang w:eastAsia="hr-HR"/>
        </w:rPr>
        <w:t xml:space="preserve">For the purpose of empirical research, daily data on stock index CROBEX and bond index CROBIS </w:t>
      </w:r>
      <w:r w:rsidR="00530A01" w:rsidRPr="001D77EC">
        <w:rPr>
          <w:lang w:eastAsia="hr-HR"/>
        </w:rPr>
        <w:t>was collected for the period January 2</w:t>
      </w:r>
      <w:r w:rsidR="00530A01" w:rsidRPr="001D77EC">
        <w:rPr>
          <w:vertAlign w:val="superscript"/>
          <w:lang w:eastAsia="hr-HR"/>
        </w:rPr>
        <w:t>nd</w:t>
      </w:r>
      <w:r w:rsidR="00530A01" w:rsidRPr="001D77EC">
        <w:rPr>
          <w:lang w:eastAsia="hr-HR"/>
        </w:rPr>
        <w:t xml:space="preserve"> 2007 to December 31</w:t>
      </w:r>
      <w:r w:rsidR="00530A01" w:rsidRPr="001D77EC">
        <w:rPr>
          <w:vertAlign w:val="superscript"/>
          <w:lang w:eastAsia="hr-HR"/>
        </w:rPr>
        <w:t>st</w:t>
      </w:r>
      <w:r w:rsidR="00530A01" w:rsidRPr="001D77EC">
        <w:rPr>
          <w:lang w:eastAsia="hr-HR"/>
        </w:rPr>
        <w:t xml:space="preserve"> 2015</w:t>
      </w:r>
      <w:r w:rsidR="00DA14AF" w:rsidRPr="001D77EC">
        <w:rPr>
          <w:lang w:eastAsia="hr-HR"/>
        </w:rPr>
        <w:t xml:space="preserve"> from ZSE </w:t>
      </w:r>
      <w:r w:rsidR="006A4142">
        <w:rPr>
          <w:lang w:eastAsia="hr-HR"/>
        </w:rPr>
        <w:t>[3</w:t>
      </w:r>
      <w:r w:rsidR="00DA14AF" w:rsidRPr="001D77EC">
        <w:rPr>
          <w:lang w:eastAsia="hr-HR"/>
        </w:rPr>
        <w:t>6</w:t>
      </w:r>
      <w:r w:rsidR="006A4142">
        <w:rPr>
          <w:lang w:eastAsia="hr-HR"/>
        </w:rPr>
        <w:t>]</w:t>
      </w:r>
      <w:r w:rsidR="00DA14AF" w:rsidRPr="001D77EC">
        <w:rPr>
          <w:lang w:eastAsia="hr-HR"/>
        </w:rPr>
        <w:t>.</w:t>
      </w:r>
      <w:r w:rsidR="007636AE" w:rsidRPr="001D77EC">
        <w:rPr>
          <w:lang w:eastAsia="hr-HR"/>
        </w:rPr>
        <w:t xml:space="preserve"> All of the estimation was performed in Time Series Modelling 4 software.</w:t>
      </w:r>
      <w:r w:rsidR="00DA14AF" w:rsidRPr="001D77EC">
        <w:rPr>
          <w:lang w:eastAsia="hr-HR"/>
        </w:rPr>
        <w:t xml:space="preserve"> Returns on stock and bond market were calculated as compound returns. The purpose is to estimate a regime switching MGARCH model described in the previous section and its non switching counterpart. Furthermore, a comparison of these models will be done in terms of diagnostics and portfolio optimization </w:t>
      </w:r>
      <w:r w:rsidR="004A4890" w:rsidRPr="001D77EC">
        <w:rPr>
          <w:lang w:eastAsia="hr-HR"/>
        </w:rPr>
        <w:t xml:space="preserve">possibilities. Both return series were found to be stationary on usual levels of significance. Firstly, appropriate </w:t>
      </w:r>
      <w:proofErr w:type="gramStart"/>
      <w:r w:rsidR="004A4890" w:rsidRPr="001D77EC">
        <w:rPr>
          <w:lang w:eastAsia="hr-HR"/>
        </w:rPr>
        <w:t>ARMA(</w:t>
      </w:r>
      <w:proofErr w:type="gramEnd"/>
      <w:r w:rsidR="004A4890" w:rsidRPr="001D77EC">
        <w:rPr>
          <w:i/>
          <w:lang w:eastAsia="hr-HR"/>
        </w:rPr>
        <w:t>p</w:t>
      </w:r>
      <w:r w:rsidR="004A4890" w:rsidRPr="001D77EC">
        <w:rPr>
          <w:lang w:eastAsia="hr-HR"/>
        </w:rPr>
        <w:t>,</w:t>
      </w:r>
      <w:r w:rsidR="004A4890" w:rsidRPr="001D77EC">
        <w:rPr>
          <w:i/>
          <w:lang w:eastAsia="hr-HR"/>
        </w:rPr>
        <w:t>q</w:t>
      </w:r>
      <w:r w:rsidR="004A4890" w:rsidRPr="001D77EC">
        <w:rPr>
          <w:lang w:eastAsia="hr-HR"/>
        </w:rPr>
        <w:t xml:space="preserve">) models have been used on raw return data in order to filter it. CROBEX was modeled as an </w:t>
      </w:r>
      <w:proofErr w:type="gramStart"/>
      <w:r w:rsidR="004A4890" w:rsidRPr="001D77EC">
        <w:rPr>
          <w:lang w:eastAsia="hr-HR"/>
        </w:rPr>
        <w:t>ARMA(</w:t>
      </w:r>
      <w:proofErr w:type="gramEnd"/>
      <w:r w:rsidR="004A4890" w:rsidRPr="001D77EC">
        <w:rPr>
          <w:lang w:eastAsia="hr-HR"/>
        </w:rPr>
        <w:t>1,1) and CROBIS as an AR(1) process</w:t>
      </w:r>
      <w:r w:rsidR="004A4890" w:rsidRPr="001D77EC">
        <w:rPr>
          <w:rStyle w:val="Referencafusnote"/>
          <w:lang w:eastAsia="hr-HR"/>
        </w:rPr>
        <w:footnoteReference w:id="4"/>
      </w:r>
      <w:r w:rsidR="004A4890" w:rsidRPr="001D77EC">
        <w:rPr>
          <w:lang w:eastAsia="hr-HR"/>
        </w:rPr>
        <w:t>.</w:t>
      </w:r>
      <w:r w:rsidR="007636AE" w:rsidRPr="001D77EC">
        <w:rPr>
          <w:lang w:eastAsia="hr-HR"/>
        </w:rPr>
        <w:t xml:space="preserve"> Then, filtered data was used to estimate univariate regime switching </w:t>
      </w:r>
      <w:proofErr w:type="gramStart"/>
      <w:r w:rsidR="007636AE" w:rsidRPr="001D77EC">
        <w:rPr>
          <w:lang w:eastAsia="hr-HR"/>
        </w:rPr>
        <w:t>GARCH(</w:t>
      </w:r>
      <w:proofErr w:type="gramEnd"/>
      <w:r w:rsidR="007636AE" w:rsidRPr="001D77EC">
        <w:rPr>
          <w:lang w:eastAsia="hr-HR"/>
        </w:rPr>
        <w:t xml:space="preserve">1,1) models, where it is assumed that there exist two regimes. This assumption is based upon previous empirical research on Croatian financial market in which all of the existing studies agree that there are two regimes. Estimation </w:t>
      </w:r>
      <w:r w:rsidR="009157D3" w:rsidRPr="001D77EC">
        <w:rPr>
          <w:lang w:eastAsia="hr-HR"/>
        </w:rPr>
        <w:t>results are given in table 1.</w:t>
      </w:r>
      <w:r w:rsidR="00CB10D9" w:rsidRPr="001D77EC">
        <w:rPr>
          <w:lang w:eastAsia="hr-HR"/>
        </w:rPr>
        <w:t xml:space="preserve"> It can be seen that both returns are greater in regime 1 compared to the regime 2. Moreover, reactions of individual volatilities to market shocks and volatility persistence are greater in regime 2. That is why we call regime 1 bull market and regime 2 bear market.</w:t>
      </w:r>
      <w:r w:rsidR="00656381" w:rsidRPr="001D77EC">
        <w:rPr>
          <w:lang w:eastAsia="hr-HR"/>
        </w:rPr>
        <w:t xml:space="preserve"> Duration of regime 1 for CROBEX is equal to 22.72 days and for CROBIS 3.16 (duration = 1</w:t>
      </w:r>
      <w:proofErr w:type="gramStart"/>
      <w:r w:rsidR="00656381" w:rsidRPr="001D77EC">
        <w:rPr>
          <w:lang w:eastAsia="hr-HR"/>
        </w:rPr>
        <w:t>/(</w:t>
      </w:r>
      <w:proofErr w:type="gramEnd"/>
      <w:r w:rsidR="00656381" w:rsidRPr="001D77EC">
        <w:rPr>
          <w:lang w:eastAsia="hr-HR"/>
        </w:rPr>
        <w:t>1−</w:t>
      </w:r>
      <w:r w:rsidR="00656381" w:rsidRPr="001D77EC">
        <w:rPr>
          <w:i/>
          <w:lang w:eastAsia="hr-HR"/>
        </w:rPr>
        <w:t>p</w:t>
      </w:r>
      <w:r w:rsidR="00656381" w:rsidRPr="001D77EC">
        <w:rPr>
          <w:vertAlign w:val="subscript"/>
          <w:lang w:eastAsia="hr-HR"/>
        </w:rPr>
        <w:t>11</w:t>
      </w:r>
      <w:r w:rsidR="00656381" w:rsidRPr="001D77EC">
        <w:rPr>
          <w:lang w:eastAsia="hr-HR"/>
        </w:rPr>
        <w:t>)</w:t>
      </w:r>
      <w:r w:rsidR="009D57DA" w:rsidRPr="001D77EC">
        <w:rPr>
          <w:lang w:eastAsia="hr-HR"/>
        </w:rPr>
        <w:t xml:space="preserve">). However, stock market resulted with losses on average in both regimes. Stationarity condition is fulfilled for both assets. Matrices </w:t>
      </w:r>
      <w:proofErr w:type="spellStart"/>
      <w:r w:rsidR="00B13B9F" w:rsidRPr="001D77EC">
        <w:rPr>
          <w:b/>
          <w:i/>
          <w:lang w:eastAsia="hr-HR"/>
        </w:rPr>
        <w:t>M</w:t>
      </w:r>
      <w:r w:rsidR="00B13B9F" w:rsidRPr="001D77EC">
        <w:rPr>
          <w:i/>
          <w:vertAlign w:val="subscript"/>
          <w:lang w:eastAsia="hr-HR"/>
        </w:rPr>
        <w:t>ij</w:t>
      </w:r>
      <w:proofErr w:type="spellEnd"/>
      <w:r w:rsidR="009D57DA" w:rsidRPr="001D77EC">
        <w:rPr>
          <w:lang w:eastAsia="hr-HR"/>
        </w:rPr>
        <w:t xml:space="preserve"> and </w:t>
      </w:r>
      <w:r w:rsidR="006F2925" w:rsidRPr="001D77EC">
        <w:rPr>
          <w:b/>
          <w:i/>
          <w:lang w:eastAsia="hr-HR"/>
        </w:rPr>
        <w:t>M</w:t>
      </w:r>
      <w:r w:rsidR="009D57DA" w:rsidRPr="001D77EC">
        <w:rPr>
          <w:lang w:eastAsia="hr-HR"/>
        </w:rPr>
        <w:t xml:space="preserve"> for both assets and the corresponding eigenvalues were calculated next. As it can be seen, stationarity conditions are met</w:t>
      </w:r>
      <w:r w:rsidR="00A93D96" w:rsidRPr="001D77EC">
        <w:rPr>
          <w:rStyle w:val="Referencafusnote"/>
          <w:lang w:eastAsia="hr-HR"/>
        </w:rPr>
        <w:footnoteReference w:id="5"/>
      </w:r>
      <w:r w:rsidR="009D57DA" w:rsidRPr="001D77EC">
        <w:rPr>
          <w:lang w:eastAsia="hr-HR"/>
        </w:rPr>
        <w:t xml:space="preserve">. </w:t>
      </w:r>
      <w:r w:rsidR="00357B56" w:rsidRPr="001D77EC">
        <w:rPr>
          <w:lang w:eastAsia="hr-HR"/>
        </w:rPr>
        <w:t xml:space="preserve">In the </w:t>
      </w:r>
      <w:r w:rsidR="00357B56" w:rsidRPr="001D77EC">
        <w:rPr>
          <w:lang w:eastAsia="hr-HR"/>
        </w:rPr>
        <w:lastRenderedPageBreak/>
        <w:t xml:space="preserve">second step, we fix the parameters from </w:t>
      </w:r>
      <w:r w:rsidR="006F2925" w:rsidRPr="001D77EC">
        <w:rPr>
          <w:lang w:eastAsia="hr-HR"/>
        </w:rPr>
        <w:t xml:space="preserve">upper part of </w:t>
      </w:r>
      <w:r w:rsidR="00357B56" w:rsidRPr="001D77EC">
        <w:rPr>
          <w:lang w:eastAsia="hr-HR"/>
        </w:rPr>
        <w:t>table 1 and estimate the rest of the model. Results are shown in lower part of table 1. It can be seen that in regime 1 the correlation is smaller compared to regime 2. It is not statistically significant. This is in favor of diversification purposes for investors. The result that correlation is greater in the bear market is not surprising. It is in accordance with previous literature. Moreover, the duration of the regime 1 with such correlation is greater than regime 2 (4.5 days vs. 1.3 days), which could provide more portfolio management benefits. Finally, the RCM measure was calculated in order to see how accurate does this model classify the regimes. Value of 30.7 was the final result, which means that this model is moderately good.</w:t>
      </w:r>
    </w:p>
    <w:p w:rsidR="007636AE" w:rsidRPr="00953E14" w:rsidRDefault="007636AE" w:rsidP="00953E14">
      <w:pPr>
        <w:jc w:val="both"/>
        <w:rPr>
          <w:b/>
          <w:bCs/>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9"/>
        <w:gridCol w:w="1833"/>
        <w:gridCol w:w="1738"/>
      </w:tblGrid>
      <w:tr w:rsidR="007636AE" w:rsidRPr="001D77EC" w:rsidTr="00357B56">
        <w:trPr>
          <w:jc w:val="center"/>
        </w:trPr>
        <w:tc>
          <w:tcPr>
            <w:tcW w:w="2419" w:type="dxa"/>
            <w:shd w:val="clear" w:color="auto" w:fill="auto"/>
            <w:vAlign w:val="center"/>
          </w:tcPr>
          <w:p w:rsidR="007636AE" w:rsidRPr="001D77EC" w:rsidRDefault="008E51AD" w:rsidP="00D06D1E">
            <w:pPr>
              <w:jc w:val="center"/>
              <w:rPr>
                <w:b/>
                <w:sz w:val="22"/>
                <w:szCs w:val="22"/>
              </w:rPr>
            </w:pPr>
            <w:r w:rsidRPr="001D77EC">
              <w:rPr>
                <w:b/>
                <w:sz w:val="22"/>
                <w:szCs w:val="22"/>
              </w:rPr>
              <w:t>Estimated parameters</w:t>
            </w:r>
          </w:p>
          <w:p w:rsidR="00357B56" w:rsidRPr="001D77EC" w:rsidRDefault="00357B56" w:rsidP="00D06D1E">
            <w:pPr>
              <w:jc w:val="center"/>
              <w:rPr>
                <w:sz w:val="22"/>
                <w:szCs w:val="22"/>
              </w:rPr>
            </w:pPr>
            <w:r w:rsidRPr="001D77EC">
              <w:rPr>
                <w:b/>
                <w:sz w:val="22"/>
                <w:szCs w:val="22"/>
              </w:rPr>
              <w:t>Univariate models</w:t>
            </w:r>
          </w:p>
        </w:tc>
        <w:tc>
          <w:tcPr>
            <w:tcW w:w="1833" w:type="dxa"/>
            <w:shd w:val="clear" w:color="auto" w:fill="auto"/>
            <w:vAlign w:val="center"/>
          </w:tcPr>
          <w:p w:rsidR="007636AE" w:rsidRPr="001D77EC" w:rsidRDefault="008E51AD" w:rsidP="00D06D1E">
            <w:pPr>
              <w:jc w:val="center"/>
              <w:rPr>
                <w:b/>
                <w:sz w:val="22"/>
                <w:szCs w:val="22"/>
              </w:rPr>
            </w:pPr>
            <w:r w:rsidRPr="001D77EC">
              <w:rPr>
                <w:b/>
                <w:sz w:val="22"/>
                <w:szCs w:val="22"/>
              </w:rPr>
              <w:t>CROBEX</w:t>
            </w:r>
          </w:p>
        </w:tc>
        <w:tc>
          <w:tcPr>
            <w:tcW w:w="1738" w:type="dxa"/>
            <w:shd w:val="clear" w:color="auto" w:fill="auto"/>
            <w:vAlign w:val="center"/>
          </w:tcPr>
          <w:p w:rsidR="007636AE" w:rsidRPr="001D77EC" w:rsidRDefault="008E51AD" w:rsidP="00D06D1E">
            <w:pPr>
              <w:jc w:val="center"/>
              <w:rPr>
                <w:b/>
                <w:sz w:val="22"/>
                <w:szCs w:val="22"/>
              </w:rPr>
            </w:pPr>
            <w:r w:rsidRPr="001D77EC">
              <w:rPr>
                <w:b/>
                <w:sz w:val="22"/>
                <w:szCs w:val="22"/>
              </w:rPr>
              <w:t>CROBIS</w:t>
            </w:r>
          </w:p>
        </w:tc>
      </w:tr>
      <w:tr w:rsidR="009157D3" w:rsidRPr="001D77EC" w:rsidTr="00357B56">
        <w:trPr>
          <w:jc w:val="center"/>
        </w:trPr>
        <w:tc>
          <w:tcPr>
            <w:tcW w:w="5990" w:type="dxa"/>
            <w:gridSpan w:val="3"/>
            <w:shd w:val="clear" w:color="auto" w:fill="auto"/>
            <w:vAlign w:val="center"/>
          </w:tcPr>
          <w:p w:rsidR="009157D3" w:rsidRPr="001D77EC" w:rsidRDefault="009157D3" w:rsidP="00D06D1E">
            <w:pPr>
              <w:jc w:val="center"/>
              <w:rPr>
                <w:b/>
                <w:sz w:val="22"/>
                <w:szCs w:val="22"/>
              </w:rPr>
            </w:pPr>
            <w:r w:rsidRPr="001D77EC">
              <w:rPr>
                <w:b/>
                <w:sz w:val="22"/>
                <w:szCs w:val="22"/>
              </w:rPr>
              <w:t>Regime 1</w:t>
            </w:r>
          </w:p>
        </w:tc>
      </w:tr>
      <w:tr w:rsidR="009157D3" w:rsidRPr="001D77EC" w:rsidTr="00357B56">
        <w:trPr>
          <w:jc w:val="center"/>
        </w:trPr>
        <w:tc>
          <w:tcPr>
            <w:tcW w:w="2419" w:type="dxa"/>
            <w:shd w:val="clear" w:color="auto" w:fill="auto"/>
            <w:vAlign w:val="center"/>
          </w:tcPr>
          <w:p w:rsidR="009157D3" w:rsidRPr="001D77EC" w:rsidRDefault="009157D3" w:rsidP="00D06D1E">
            <w:pPr>
              <w:jc w:val="center"/>
              <w:rPr>
                <w:sz w:val="22"/>
                <w:szCs w:val="22"/>
              </w:rPr>
            </w:pPr>
            <w:r w:rsidRPr="001D77EC">
              <w:rPr>
                <w:position w:val="-12"/>
                <w:sz w:val="22"/>
                <w:szCs w:val="22"/>
              </w:rPr>
              <w:object w:dxaOrig="279" w:dyaOrig="360">
                <v:shape id="_x0000_i1045" type="#_x0000_t75" style="width:14.25pt;height:18.35pt" o:ole="">
                  <v:imagedata r:id="rId54" o:title=""/>
                </v:shape>
                <o:OLEObject Type="Embed" ProgID="Equation.DSMT4" ShapeID="_x0000_i1045" DrawAspect="Content" ObjectID="_1534532580" r:id="rId55"/>
              </w:object>
            </w:r>
          </w:p>
        </w:tc>
        <w:tc>
          <w:tcPr>
            <w:tcW w:w="1833" w:type="dxa"/>
            <w:shd w:val="clear" w:color="auto" w:fill="auto"/>
            <w:vAlign w:val="center"/>
          </w:tcPr>
          <w:p w:rsidR="009157D3" w:rsidRPr="001D77EC" w:rsidRDefault="00D06D1E" w:rsidP="00D06D1E">
            <w:pPr>
              <w:jc w:val="center"/>
              <w:rPr>
                <w:sz w:val="22"/>
                <w:szCs w:val="22"/>
              </w:rPr>
            </w:pPr>
            <w:r w:rsidRPr="001D77EC">
              <w:rPr>
                <w:sz w:val="22"/>
                <w:szCs w:val="22"/>
              </w:rPr>
              <w:t>-0.00021 (0.143)</w:t>
            </w:r>
          </w:p>
        </w:tc>
        <w:tc>
          <w:tcPr>
            <w:tcW w:w="1738" w:type="dxa"/>
            <w:shd w:val="clear" w:color="auto" w:fill="auto"/>
            <w:vAlign w:val="center"/>
          </w:tcPr>
          <w:p w:rsidR="009157D3" w:rsidRPr="001D77EC" w:rsidRDefault="00D06D1E" w:rsidP="00D06D1E">
            <w:pPr>
              <w:jc w:val="center"/>
              <w:rPr>
                <w:sz w:val="22"/>
                <w:szCs w:val="22"/>
              </w:rPr>
            </w:pPr>
            <w:r w:rsidRPr="001D77EC">
              <w:rPr>
                <w:sz w:val="22"/>
                <w:szCs w:val="22"/>
              </w:rPr>
              <w:t>0.00002 (0.601)</w:t>
            </w:r>
          </w:p>
        </w:tc>
      </w:tr>
      <w:tr w:rsidR="007636AE" w:rsidRPr="001D77EC" w:rsidTr="00357B56">
        <w:trPr>
          <w:jc w:val="center"/>
        </w:trPr>
        <w:tc>
          <w:tcPr>
            <w:tcW w:w="2419" w:type="dxa"/>
            <w:shd w:val="clear" w:color="auto" w:fill="auto"/>
            <w:vAlign w:val="center"/>
          </w:tcPr>
          <w:p w:rsidR="007636AE" w:rsidRPr="001D77EC" w:rsidRDefault="00D06D1E" w:rsidP="00D06D1E">
            <w:pPr>
              <w:jc w:val="center"/>
              <w:rPr>
                <w:sz w:val="22"/>
                <w:szCs w:val="22"/>
              </w:rPr>
            </w:pPr>
            <w:r w:rsidRPr="001D77EC">
              <w:rPr>
                <w:position w:val="-14"/>
                <w:sz w:val="22"/>
                <w:szCs w:val="22"/>
              </w:rPr>
              <w:object w:dxaOrig="400" w:dyaOrig="380">
                <v:shape id="_x0000_i1046" type="#_x0000_t75" style="width:19.7pt;height:19pt" o:ole="">
                  <v:imagedata r:id="rId56" o:title=""/>
                </v:shape>
                <o:OLEObject Type="Embed" ProgID="Equation.DSMT4" ShapeID="_x0000_i1046" DrawAspect="Content" ObjectID="_1534532581" r:id="rId57"/>
              </w:object>
            </w:r>
          </w:p>
        </w:tc>
        <w:tc>
          <w:tcPr>
            <w:tcW w:w="1833" w:type="dxa"/>
            <w:shd w:val="clear" w:color="auto" w:fill="auto"/>
            <w:vAlign w:val="center"/>
          </w:tcPr>
          <w:p w:rsidR="007636AE" w:rsidRPr="001D77EC" w:rsidRDefault="00D06D1E" w:rsidP="00D06D1E">
            <w:pPr>
              <w:jc w:val="center"/>
              <w:rPr>
                <w:sz w:val="22"/>
                <w:szCs w:val="22"/>
              </w:rPr>
            </w:pPr>
            <w:r w:rsidRPr="001D77EC">
              <w:rPr>
                <w:sz w:val="22"/>
                <w:szCs w:val="22"/>
              </w:rPr>
              <w:t>0.00271 (0.000)</w:t>
            </w:r>
          </w:p>
        </w:tc>
        <w:tc>
          <w:tcPr>
            <w:tcW w:w="1738" w:type="dxa"/>
            <w:shd w:val="clear" w:color="auto" w:fill="auto"/>
            <w:vAlign w:val="center"/>
          </w:tcPr>
          <w:p w:rsidR="007636AE" w:rsidRPr="001D77EC" w:rsidRDefault="00D06D1E" w:rsidP="00D06D1E">
            <w:pPr>
              <w:jc w:val="center"/>
              <w:rPr>
                <w:sz w:val="22"/>
                <w:szCs w:val="22"/>
              </w:rPr>
            </w:pPr>
            <w:r w:rsidRPr="001D77EC">
              <w:rPr>
                <w:sz w:val="22"/>
                <w:szCs w:val="22"/>
              </w:rPr>
              <w:t>0.00065 (0.000)</w:t>
            </w:r>
          </w:p>
        </w:tc>
      </w:tr>
      <w:tr w:rsidR="007636AE" w:rsidRPr="001D77EC" w:rsidTr="00357B56">
        <w:trPr>
          <w:jc w:val="center"/>
        </w:trPr>
        <w:tc>
          <w:tcPr>
            <w:tcW w:w="2419" w:type="dxa"/>
            <w:shd w:val="clear" w:color="auto" w:fill="auto"/>
            <w:vAlign w:val="center"/>
          </w:tcPr>
          <w:p w:rsidR="007636AE" w:rsidRPr="001D77EC" w:rsidRDefault="00D06D1E" w:rsidP="00D06D1E">
            <w:pPr>
              <w:jc w:val="center"/>
              <w:rPr>
                <w:sz w:val="22"/>
                <w:szCs w:val="22"/>
              </w:rPr>
            </w:pPr>
            <w:r w:rsidRPr="001D77EC">
              <w:rPr>
                <w:position w:val="-14"/>
                <w:sz w:val="22"/>
                <w:szCs w:val="22"/>
              </w:rPr>
              <w:object w:dxaOrig="380" w:dyaOrig="380">
                <v:shape id="_x0000_i1047" type="#_x0000_t75" style="width:19pt;height:19pt" o:ole="">
                  <v:imagedata r:id="rId58" o:title=""/>
                </v:shape>
                <o:OLEObject Type="Embed" ProgID="Equation.DSMT4" ShapeID="_x0000_i1047" DrawAspect="Content" ObjectID="_1534532582" r:id="rId59"/>
              </w:object>
            </w:r>
          </w:p>
        </w:tc>
        <w:tc>
          <w:tcPr>
            <w:tcW w:w="1833" w:type="dxa"/>
            <w:shd w:val="clear" w:color="auto" w:fill="auto"/>
            <w:vAlign w:val="center"/>
          </w:tcPr>
          <w:p w:rsidR="007636AE" w:rsidRPr="001D77EC" w:rsidRDefault="00D06D1E" w:rsidP="00D06D1E">
            <w:pPr>
              <w:jc w:val="center"/>
              <w:rPr>
                <w:sz w:val="22"/>
                <w:szCs w:val="22"/>
              </w:rPr>
            </w:pPr>
            <w:r w:rsidRPr="001D77EC">
              <w:rPr>
                <w:sz w:val="22"/>
                <w:szCs w:val="22"/>
              </w:rPr>
              <w:t>0.076 (0.000)</w:t>
            </w:r>
          </w:p>
        </w:tc>
        <w:tc>
          <w:tcPr>
            <w:tcW w:w="1738" w:type="dxa"/>
            <w:shd w:val="clear" w:color="auto" w:fill="auto"/>
            <w:vAlign w:val="center"/>
          </w:tcPr>
          <w:p w:rsidR="007636AE" w:rsidRPr="001D77EC" w:rsidRDefault="00D06D1E" w:rsidP="00D06D1E">
            <w:pPr>
              <w:jc w:val="center"/>
              <w:rPr>
                <w:sz w:val="22"/>
                <w:szCs w:val="22"/>
              </w:rPr>
            </w:pPr>
            <w:r w:rsidRPr="001D77EC">
              <w:rPr>
                <w:sz w:val="22"/>
                <w:szCs w:val="22"/>
              </w:rPr>
              <w:t>0.047 (0.007)</w:t>
            </w:r>
          </w:p>
        </w:tc>
      </w:tr>
      <w:tr w:rsidR="009157D3" w:rsidRPr="001D77EC" w:rsidTr="00357B56">
        <w:trPr>
          <w:jc w:val="center"/>
        </w:trPr>
        <w:tc>
          <w:tcPr>
            <w:tcW w:w="2419" w:type="dxa"/>
            <w:shd w:val="clear" w:color="auto" w:fill="auto"/>
            <w:vAlign w:val="center"/>
          </w:tcPr>
          <w:p w:rsidR="009157D3" w:rsidRPr="001D77EC" w:rsidRDefault="00D06D1E" w:rsidP="00D06D1E">
            <w:pPr>
              <w:jc w:val="center"/>
              <w:rPr>
                <w:sz w:val="22"/>
                <w:szCs w:val="22"/>
              </w:rPr>
            </w:pPr>
            <w:r w:rsidRPr="001D77EC">
              <w:rPr>
                <w:position w:val="-14"/>
                <w:sz w:val="22"/>
                <w:szCs w:val="22"/>
              </w:rPr>
              <w:object w:dxaOrig="380" w:dyaOrig="420">
                <v:shape id="_x0000_i1048" type="#_x0000_t75" style="width:19pt;height:21.05pt" o:ole="">
                  <v:imagedata r:id="rId60" o:title=""/>
                </v:shape>
                <o:OLEObject Type="Embed" ProgID="Equation.DSMT4" ShapeID="_x0000_i1048" DrawAspect="Content" ObjectID="_1534532583" r:id="rId61"/>
              </w:object>
            </w:r>
          </w:p>
        </w:tc>
        <w:tc>
          <w:tcPr>
            <w:tcW w:w="1833" w:type="dxa"/>
            <w:shd w:val="clear" w:color="auto" w:fill="auto"/>
            <w:vAlign w:val="center"/>
          </w:tcPr>
          <w:p w:rsidR="009157D3" w:rsidRPr="001D77EC" w:rsidRDefault="00687539" w:rsidP="00D06D1E">
            <w:pPr>
              <w:jc w:val="center"/>
              <w:rPr>
                <w:sz w:val="22"/>
                <w:szCs w:val="22"/>
              </w:rPr>
            </w:pPr>
            <w:r w:rsidRPr="001D77EC">
              <w:rPr>
                <w:sz w:val="22"/>
                <w:szCs w:val="22"/>
              </w:rPr>
              <w:t>0.896 (0.000)</w:t>
            </w:r>
          </w:p>
        </w:tc>
        <w:tc>
          <w:tcPr>
            <w:tcW w:w="1738" w:type="dxa"/>
            <w:shd w:val="clear" w:color="auto" w:fill="auto"/>
            <w:vAlign w:val="center"/>
          </w:tcPr>
          <w:p w:rsidR="009157D3" w:rsidRPr="001D77EC" w:rsidRDefault="00687539" w:rsidP="00D06D1E">
            <w:pPr>
              <w:jc w:val="center"/>
              <w:rPr>
                <w:sz w:val="22"/>
                <w:szCs w:val="22"/>
              </w:rPr>
            </w:pPr>
            <w:r w:rsidRPr="001D77EC">
              <w:rPr>
                <w:sz w:val="22"/>
                <w:szCs w:val="22"/>
              </w:rPr>
              <w:t>0.496 (0.000)</w:t>
            </w:r>
          </w:p>
        </w:tc>
      </w:tr>
      <w:tr w:rsidR="009157D3" w:rsidRPr="001D77EC" w:rsidTr="00357B56">
        <w:trPr>
          <w:jc w:val="center"/>
        </w:trPr>
        <w:tc>
          <w:tcPr>
            <w:tcW w:w="5990" w:type="dxa"/>
            <w:gridSpan w:val="3"/>
            <w:shd w:val="clear" w:color="auto" w:fill="auto"/>
            <w:vAlign w:val="center"/>
          </w:tcPr>
          <w:p w:rsidR="009157D3" w:rsidRPr="001D77EC" w:rsidRDefault="009157D3" w:rsidP="00D06D1E">
            <w:pPr>
              <w:jc w:val="center"/>
              <w:rPr>
                <w:b/>
                <w:sz w:val="22"/>
                <w:szCs w:val="22"/>
              </w:rPr>
            </w:pPr>
            <w:r w:rsidRPr="001D77EC">
              <w:rPr>
                <w:b/>
                <w:sz w:val="22"/>
                <w:szCs w:val="22"/>
              </w:rPr>
              <w:t>Regime 2</w:t>
            </w:r>
          </w:p>
        </w:tc>
      </w:tr>
      <w:tr w:rsidR="009157D3" w:rsidRPr="001D77EC" w:rsidTr="00357B56">
        <w:trPr>
          <w:jc w:val="center"/>
        </w:trPr>
        <w:tc>
          <w:tcPr>
            <w:tcW w:w="2419" w:type="dxa"/>
            <w:shd w:val="clear" w:color="auto" w:fill="auto"/>
            <w:vAlign w:val="center"/>
          </w:tcPr>
          <w:p w:rsidR="009157D3" w:rsidRPr="001D77EC" w:rsidRDefault="009157D3" w:rsidP="00D06D1E">
            <w:pPr>
              <w:jc w:val="center"/>
              <w:rPr>
                <w:sz w:val="22"/>
                <w:szCs w:val="22"/>
              </w:rPr>
            </w:pPr>
            <w:r w:rsidRPr="001D77EC">
              <w:rPr>
                <w:position w:val="-12"/>
                <w:sz w:val="22"/>
                <w:szCs w:val="22"/>
              </w:rPr>
              <w:object w:dxaOrig="300" w:dyaOrig="360">
                <v:shape id="_x0000_i1049" type="#_x0000_t75" style="width:14.95pt;height:18.35pt" o:ole="">
                  <v:imagedata r:id="rId62" o:title=""/>
                </v:shape>
                <o:OLEObject Type="Embed" ProgID="Equation.DSMT4" ShapeID="_x0000_i1049" DrawAspect="Content" ObjectID="_1534532584" r:id="rId63"/>
              </w:object>
            </w:r>
          </w:p>
        </w:tc>
        <w:tc>
          <w:tcPr>
            <w:tcW w:w="1833" w:type="dxa"/>
            <w:shd w:val="clear" w:color="auto" w:fill="auto"/>
            <w:vAlign w:val="center"/>
          </w:tcPr>
          <w:p w:rsidR="009157D3" w:rsidRPr="001D77EC" w:rsidRDefault="00687539" w:rsidP="00D06D1E">
            <w:pPr>
              <w:jc w:val="center"/>
              <w:rPr>
                <w:sz w:val="22"/>
                <w:szCs w:val="22"/>
              </w:rPr>
            </w:pPr>
            <w:r w:rsidRPr="001D77EC">
              <w:rPr>
                <w:sz w:val="22"/>
                <w:szCs w:val="22"/>
              </w:rPr>
              <w:t>-0.0022 (0.684)</w:t>
            </w:r>
          </w:p>
        </w:tc>
        <w:tc>
          <w:tcPr>
            <w:tcW w:w="1738" w:type="dxa"/>
            <w:shd w:val="clear" w:color="auto" w:fill="auto"/>
            <w:vAlign w:val="center"/>
          </w:tcPr>
          <w:p w:rsidR="009157D3" w:rsidRPr="001D77EC" w:rsidRDefault="00687539" w:rsidP="00D06D1E">
            <w:pPr>
              <w:jc w:val="center"/>
              <w:rPr>
                <w:sz w:val="22"/>
                <w:szCs w:val="22"/>
              </w:rPr>
            </w:pPr>
            <w:r w:rsidRPr="001D77EC">
              <w:rPr>
                <w:sz w:val="22"/>
                <w:szCs w:val="22"/>
              </w:rPr>
              <w:t>-0.00003 (0.76)</w:t>
            </w:r>
          </w:p>
        </w:tc>
      </w:tr>
      <w:tr w:rsidR="009157D3" w:rsidRPr="001D77EC" w:rsidTr="00357B56">
        <w:trPr>
          <w:jc w:val="center"/>
        </w:trPr>
        <w:tc>
          <w:tcPr>
            <w:tcW w:w="2419" w:type="dxa"/>
            <w:shd w:val="clear" w:color="auto" w:fill="auto"/>
            <w:vAlign w:val="center"/>
          </w:tcPr>
          <w:p w:rsidR="009157D3" w:rsidRPr="001D77EC" w:rsidRDefault="00D06D1E" w:rsidP="00D06D1E">
            <w:pPr>
              <w:jc w:val="center"/>
              <w:rPr>
                <w:sz w:val="22"/>
                <w:szCs w:val="22"/>
              </w:rPr>
            </w:pPr>
            <w:r w:rsidRPr="001D77EC">
              <w:rPr>
                <w:position w:val="-14"/>
                <w:sz w:val="22"/>
                <w:szCs w:val="22"/>
              </w:rPr>
              <w:object w:dxaOrig="440" w:dyaOrig="380">
                <v:shape id="_x0000_i1050" type="#_x0000_t75" style="width:21.75pt;height:19pt" o:ole="">
                  <v:imagedata r:id="rId64" o:title=""/>
                </v:shape>
                <o:OLEObject Type="Embed" ProgID="Equation.DSMT4" ShapeID="_x0000_i1050" DrawAspect="Content" ObjectID="_1534532585" r:id="rId65"/>
              </w:object>
            </w:r>
          </w:p>
        </w:tc>
        <w:tc>
          <w:tcPr>
            <w:tcW w:w="1833" w:type="dxa"/>
            <w:shd w:val="clear" w:color="auto" w:fill="auto"/>
            <w:vAlign w:val="center"/>
          </w:tcPr>
          <w:p w:rsidR="009157D3" w:rsidRPr="001D77EC" w:rsidRDefault="00687539" w:rsidP="00D06D1E">
            <w:pPr>
              <w:jc w:val="center"/>
              <w:rPr>
                <w:sz w:val="22"/>
                <w:szCs w:val="22"/>
              </w:rPr>
            </w:pPr>
            <w:r w:rsidRPr="001D77EC">
              <w:rPr>
                <w:sz w:val="22"/>
                <w:szCs w:val="22"/>
              </w:rPr>
              <w:t>0.011 (0.000)</w:t>
            </w:r>
          </w:p>
        </w:tc>
        <w:tc>
          <w:tcPr>
            <w:tcW w:w="1738" w:type="dxa"/>
            <w:shd w:val="clear" w:color="auto" w:fill="auto"/>
            <w:vAlign w:val="center"/>
          </w:tcPr>
          <w:p w:rsidR="009157D3" w:rsidRPr="001D77EC" w:rsidRDefault="00687539" w:rsidP="00D06D1E">
            <w:pPr>
              <w:jc w:val="center"/>
              <w:rPr>
                <w:sz w:val="22"/>
                <w:szCs w:val="22"/>
              </w:rPr>
            </w:pPr>
            <w:r w:rsidRPr="001D77EC">
              <w:rPr>
                <w:sz w:val="22"/>
                <w:szCs w:val="22"/>
              </w:rPr>
              <w:t>0.0001 (0.000)</w:t>
            </w:r>
          </w:p>
        </w:tc>
      </w:tr>
      <w:tr w:rsidR="009157D3" w:rsidRPr="001D77EC" w:rsidTr="00357B56">
        <w:trPr>
          <w:jc w:val="center"/>
        </w:trPr>
        <w:tc>
          <w:tcPr>
            <w:tcW w:w="2419" w:type="dxa"/>
            <w:shd w:val="clear" w:color="auto" w:fill="auto"/>
            <w:vAlign w:val="center"/>
          </w:tcPr>
          <w:p w:rsidR="009157D3" w:rsidRPr="001D77EC" w:rsidRDefault="00D06D1E" w:rsidP="00D06D1E">
            <w:pPr>
              <w:jc w:val="center"/>
              <w:rPr>
                <w:sz w:val="22"/>
                <w:szCs w:val="22"/>
              </w:rPr>
            </w:pPr>
            <w:r w:rsidRPr="001D77EC">
              <w:rPr>
                <w:position w:val="-14"/>
                <w:sz w:val="22"/>
                <w:szCs w:val="22"/>
              </w:rPr>
              <w:object w:dxaOrig="400" w:dyaOrig="380">
                <v:shape id="_x0000_i1051" type="#_x0000_t75" style="width:19.7pt;height:19pt" o:ole="">
                  <v:imagedata r:id="rId66" o:title=""/>
                </v:shape>
                <o:OLEObject Type="Embed" ProgID="Equation.DSMT4" ShapeID="_x0000_i1051" DrawAspect="Content" ObjectID="_1534532586" r:id="rId67"/>
              </w:object>
            </w:r>
          </w:p>
        </w:tc>
        <w:tc>
          <w:tcPr>
            <w:tcW w:w="1833" w:type="dxa"/>
            <w:shd w:val="clear" w:color="auto" w:fill="auto"/>
            <w:vAlign w:val="center"/>
          </w:tcPr>
          <w:p w:rsidR="009157D3" w:rsidRPr="001D77EC" w:rsidRDefault="00687539" w:rsidP="00D06D1E">
            <w:pPr>
              <w:jc w:val="center"/>
              <w:rPr>
                <w:sz w:val="22"/>
                <w:szCs w:val="22"/>
              </w:rPr>
            </w:pPr>
            <w:r w:rsidRPr="001D77EC">
              <w:rPr>
                <w:sz w:val="22"/>
                <w:szCs w:val="22"/>
              </w:rPr>
              <w:t>0.921 (0.354)</w:t>
            </w:r>
          </w:p>
        </w:tc>
        <w:tc>
          <w:tcPr>
            <w:tcW w:w="1738" w:type="dxa"/>
            <w:shd w:val="clear" w:color="auto" w:fill="auto"/>
            <w:vAlign w:val="center"/>
          </w:tcPr>
          <w:p w:rsidR="009157D3" w:rsidRPr="001D77EC" w:rsidRDefault="00687539" w:rsidP="00D06D1E">
            <w:pPr>
              <w:jc w:val="center"/>
              <w:rPr>
                <w:sz w:val="22"/>
                <w:szCs w:val="22"/>
              </w:rPr>
            </w:pPr>
            <w:r w:rsidRPr="001D77EC">
              <w:rPr>
                <w:sz w:val="22"/>
                <w:szCs w:val="22"/>
              </w:rPr>
              <w:t>0.192 (0.001)</w:t>
            </w:r>
          </w:p>
        </w:tc>
      </w:tr>
      <w:tr w:rsidR="009157D3" w:rsidRPr="001D77EC" w:rsidTr="00357B56">
        <w:trPr>
          <w:jc w:val="center"/>
        </w:trPr>
        <w:tc>
          <w:tcPr>
            <w:tcW w:w="2419" w:type="dxa"/>
            <w:shd w:val="clear" w:color="auto" w:fill="auto"/>
            <w:vAlign w:val="center"/>
          </w:tcPr>
          <w:p w:rsidR="009157D3" w:rsidRPr="001D77EC" w:rsidRDefault="00D06D1E" w:rsidP="00D06D1E">
            <w:pPr>
              <w:jc w:val="center"/>
              <w:rPr>
                <w:sz w:val="22"/>
                <w:szCs w:val="22"/>
              </w:rPr>
            </w:pPr>
            <w:r w:rsidRPr="001D77EC">
              <w:rPr>
                <w:position w:val="-14"/>
                <w:sz w:val="22"/>
                <w:szCs w:val="22"/>
              </w:rPr>
              <w:object w:dxaOrig="400" w:dyaOrig="420">
                <v:shape id="_x0000_i1052" type="#_x0000_t75" style="width:19.7pt;height:21.05pt" o:ole="">
                  <v:imagedata r:id="rId68" o:title=""/>
                </v:shape>
                <o:OLEObject Type="Embed" ProgID="Equation.DSMT4" ShapeID="_x0000_i1052" DrawAspect="Content" ObjectID="_1534532587" r:id="rId69"/>
              </w:object>
            </w:r>
          </w:p>
        </w:tc>
        <w:tc>
          <w:tcPr>
            <w:tcW w:w="1833" w:type="dxa"/>
            <w:shd w:val="clear" w:color="auto" w:fill="auto"/>
            <w:vAlign w:val="center"/>
          </w:tcPr>
          <w:p w:rsidR="009157D3" w:rsidRPr="001D77EC" w:rsidRDefault="00687539" w:rsidP="00D06D1E">
            <w:pPr>
              <w:jc w:val="center"/>
              <w:rPr>
                <w:sz w:val="22"/>
                <w:szCs w:val="22"/>
              </w:rPr>
            </w:pPr>
            <w:r w:rsidRPr="001D77EC">
              <w:rPr>
                <w:sz w:val="22"/>
                <w:szCs w:val="22"/>
              </w:rPr>
              <w:t>0.824 (0.000)</w:t>
            </w:r>
          </w:p>
        </w:tc>
        <w:tc>
          <w:tcPr>
            <w:tcW w:w="1738" w:type="dxa"/>
            <w:shd w:val="clear" w:color="auto" w:fill="auto"/>
            <w:vAlign w:val="center"/>
          </w:tcPr>
          <w:p w:rsidR="009157D3" w:rsidRPr="001D77EC" w:rsidRDefault="00687539" w:rsidP="00D06D1E">
            <w:pPr>
              <w:jc w:val="center"/>
              <w:rPr>
                <w:sz w:val="22"/>
                <w:szCs w:val="22"/>
              </w:rPr>
            </w:pPr>
            <w:r w:rsidRPr="001D77EC">
              <w:rPr>
                <w:sz w:val="22"/>
                <w:szCs w:val="22"/>
              </w:rPr>
              <w:t>0.926 (0.000)</w:t>
            </w:r>
          </w:p>
        </w:tc>
      </w:tr>
      <w:tr w:rsidR="00357B56" w:rsidRPr="001D77EC" w:rsidTr="00357B56">
        <w:trPr>
          <w:trHeight w:val="64"/>
          <w:jc w:val="center"/>
        </w:trPr>
        <w:tc>
          <w:tcPr>
            <w:tcW w:w="5990" w:type="dxa"/>
            <w:gridSpan w:val="3"/>
            <w:shd w:val="clear" w:color="auto" w:fill="auto"/>
            <w:vAlign w:val="center"/>
          </w:tcPr>
          <w:p w:rsidR="00357B56" w:rsidRPr="00000157" w:rsidRDefault="00357B56" w:rsidP="00D06D1E">
            <w:pPr>
              <w:jc w:val="center"/>
              <w:rPr>
                <w:sz w:val="4"/>
                <w:szCs w:val="22"/>
              </w:rPr>
            </w:pPr>
          </w:p>
        </w:tc>
      </w:tr>
      <w:tr w:rsidR="009157D3" w:rsidRPr="001D77EC" w:rsidTr="00357B56">
        <w:trPr>
          <w:jc w:val="center"/>
        </w:trPr>
        <w:tc>
          <w:tcPr>
            <w:tcW w:w="2419" w:type="dxa"/>
            <w:shd w:val="clear" w:color="auto" w:fill="auto"/>
            <w:vAlign w:val="center"/>
          </w:tcPr>
          <w:p w:rsidR="009157D3" w:rsidRPr="001D77EC" w:rsidRDefault="009157D3" w:rsidP="00D06D1E">
            <w:pPr>
              <w:jc w:val="center"/>
              <w:rPr>
                <w:sz w:val="22"/>
                <w:szCs w:val="22"/>
              </w:rPr>
            </w:pPr>
            <w:r w:rsidRPr="001D77EC">
              <w:rPr>
                <w:i/>
                <w:sz w:val="22"/>
                <w:szCs w:val="22"/>
              </w:rPr>
              <w:t>p</w:t>
            </w:r>
            <w:r w:rsidRPr="001D77EC">
              <w:rPr>
                <w:sz w:val="22"/>
                <w:szCs w:val="22"/>
                <w:vertAlign w:val="subscript"/>
              </w:rPr>
              <w:t>11</w:t>
            </w:r>
          </w:p>
        </w:tc>
        <w:tc>
          <w:tcPr>
            <w:tcW w:w="1833" w:type="dxa"/>
            <w:shd w:val="clear" w:color="auto" w:fill="auto"/>
            <w:vAlign w:val="center"/>
          </w:tcPr>
          <w:p w:rsidR="009157D3" w:rsidRPr="001D77EC" w:rsidRDefault="00687539" w:rsidP="00D06D1E">
            <w:pPr>
              <w:jc w:val="center"/>
              <w:rPr>
                <w:sz w:val="22"/>
                <w:szCs w:val="22"/>
              </w:rPr>
            </w:pPr>
            <w:r w:rsidRPr="001D77EC">
              <w:rPr>
                <w:sz w:val="22"/>
                <w:szCs w:val="22"/>
              </w:rPr>
              <w:t>0.956</w:t>
            </w:r>
          </w:p>
        </w:tc>
        <w:tc>
          <w:tcPr>
            <w:tcW w:w="1738" w:type="dxa"/>
            <w:shd w:val="clear" w:color="auto" w:fill="auto"/>
            <w:vAlign w:val="center"/>
          </w:tcPr>
          <w:p w:rsidR="009157D3" w:rsidRPr="001D77EC" w:rsidRDefault="00687539" w:rsidP="00D06D1E">
            <w:pPr>
              <w:jc w:val="center"/>
              <w:rPr>
                <w:sz w:val="22"/>
                <w:szCs w:val="22"/>
              </w:rPr>
            </w:pPr>
            <w:r w:rsidRPr="001D77EC">
              <w:rPr>
                <w:sz w:val="22"/>
                <w:szCs w:val="22"/>
              </w:rPr>
              <w:t>0.684</w:t>
            </w:r>
          </w:p>
        </w:tc>
      </w:tr>
      <w:tr w:rsidR="009157D3" w:rsidRPr="001D77EC" w:rsidTr="00357B56">
        <w:trPr>
          <w:jc w:val="center"/>
        </w:trPr>
        <w:tc>
          <w:tcPr>
            <w:tcW w:w="2419" w:type="dxa"/>
            <w:shd w:val="clear" w:color="auto" w:fill="auto"/>
            <w:vAlign w:val="center"/>
          </w:tcPr>
          <w:p w:rsidR="009157D3" w:rsidRPr="001D77EC" w:rsidRDefault="009157D3" w:rsidP="00D06D1E">
            <w:pPr>
              <w:jc w:val="center"/>
              <w:rPr>
                <w:sz w:val="22"/>
                <w:szCs w:val="22"/>
              </w:rPr>
            </w:pPr>
            <w:r w:rsidRPr="001D77EC">
              <w:rPr>
                <w:i/>
                <w:sz w:val="22"/>
                <w:szCs w:val="22"/>
              </w:rPr>
              <w:t>p</w:t>
            </w:r>
            <w:r w:rsidRPr="001D77EC">
              <w:rPr>
                <w:sz w:val="22"/>
                <w:szCs w:val="22"/>
                <w:vertAlign w:val="subscript"/>
              </w:rPr>
              <w:t>22</w:t>
            </w:r>
          </w:p>
        </w:tc>
        <w:tc>
          <w:tcPr>
            <w:tcW w:w="1833" w:type="dxa"/>
            <w:shd w:val="clear" w:color="auto" w:fill="auto"/>
            <w:vAlign w:val="center"/>
          </w:tcPr>
          <w:p w:rsidR="009157D3" w:rsidRPr="001D77EC" w:rsidRDefault="00687539" w:rsidP="00D06D1E">
            <w:pPr>
              <w:jc w:val="center"/>
              <w:rPr>
                <w:sz w:val="22"/>
                <w:szCs w:val="22"/>
              </w:rPr>
            </w:pPr>
            <w:r w:rsidRPr="001D77EC">
              <w:rPr>
                <w:sz w:val="22"/>
                <w:szCs w:val="22"/>
              </w:rPr>
              <w:t>0.010</w:t>
            </w:r>
          </w:p>
        </w:tc>
        <w:tc>
          <w:tcPr>
            <w:tcW w:w="1738" w:type="dxa"/>
            <w:shd w:val="clear" w:color="auto" w:fill="auto"/>
            <w:vAlign w:val="center"/>
          </w:tcPr>
          <w:p w:rsidR="009157D3" w:rsidRPr="001D77EC" w:rsidRDefault="00687539" w:rsidP="00D06D1E">
            <w:pPr>
              <w:jc w:val="center"/>
              <w:rPr>
                <w:sz w:val="22"/>
                <w:szCs w:val="22"/>
              </w:rPr>
            </w:pPr>
            <w:r w:rsidRPr="001D77EC">
              <w:rPr>
                <w:sz w:val="22"/>
                <w:szCs w:val="22"/>
              </w:rPr>
              <w:t>0.351</w:t>
            </w:r>
          </w:p>
        </w:tc>
      </w:tr>
      <w:tr w:rsidR="009157D3" w:rsidRPr="001D77EC" w:rsidTr="00357B56">
        <w:trPr>
          <w:jc w:val="center"/>
        </w:trPr>
        <w:tc>
          <w:tcPr>
            <w:tcW w:w="2419" w:type="dxa"/>
            <w:shd w:val="clear" w:color="auto" w:fill="auto"/>
            <w:vAlign w:val="center"/>
          </w:tcPr>
          <w:p w:rsidR="009157D3" w:rsidRPr="001D77EC" w:rsidRDefault="009157D3" w:rsidP="00D06D1E">
            <w:pPr>
              <w:jc w:val="center"/>
              <w:rPr>
                <w:sz w:val="22"/>
                <w:szCs w:val="22"/>
              </w:rPr>
            </w:pPr>
            <w:r w:rsidRPr="001D77EC">
              <w:rPr>
                <w:sz w:val="22"/>
                <w:szCs w:val="22"/>
              </w:rPr>
              <w:t>Log L</w:t>
            </w:r>
          </w:p>
        </w:tc>
        <w:tc>
          <w:tcPr>
            <w:tcW w:w="1833" w:type="dxa"/>
            <w:shd w:val="clear" w:color="auto" w:fill="auto"/>
            <w:vAlign w:val="center"/>
          </w:tcPr>
          <w:p w:rsidR="009157D3" w:rsidRPr="001D77EC" w:rsidRDefault="00687539" w:rsidP="00D06D1E">
            <w:pPr>
              <w:jc w:val="center"/>
              <w:rPr>
                <w:sz w:val="22"/>
                <w:szCs w:val="22"/>
              </w:rPr>
            </w:pPr>
            <w:r w:rsidRPr="001D77EC">
              <w:rPr>
                <w:sz w:val="22"/>
                <w:szCs w:val="22"/>
              </w:rPr>
              <w:t>7494.93</w:t>
            </w:r>
          </w:p>
        </w:tc>
        <w:tc>
          <w:tcPr>
            <w:tcW w:w="1738" w:type="dxa"/>
            <w:shd w:val="clear" w:color="auto" w:fill="auto"/>
            <w:vAlign w:val="center"/>
          </w:tcPr>
          <w:p w:rsidR="009157D3" w:rsidRPr="001D77EC" w:rsidRDefault="00687539" w:rsidP="00D06D1E">
            <w:pPr>
              <w:jc w:val="center"/>
              <w:rPr>
                <w:sz w:val="22"/>
                <w:szCs w:val="22"/>
              </w:rPr>
            </w:pPr>
            <w:r w:rsidRPr="001D77EC">
              <w:rPr>
                <w:sz w:val="22"/>
                <w:szCs w:val="22"/>
              </w:rPr>
              <w:t>11459.2</w:t>
            </w:r>
          </w:p>
        </w:tc>
      </w:tr>
      <w:tr w:rsidR="00656381" w:rsidRPr="001D77EC" w:rsidTr="00357B56">
        <w:trPr>
          <w:jc w:val="center"/>
        </w:trPr>
        <w:tc>
          <w:tcPr>
            <w:tcW w:w="2419" w:type="dxa"/>
            <w:shd w:val="clear" w:color="auto" w:fill="auto"/>
            <w:vAlign w:val="center"/>
          </w:tcPr>
          <w:p w:rsidR="00656381" w:rsidRPr="001D77EC" w:rsidRDefault="00656381" w:rsidP="00CB10D9">
            <w:pPr>
              <w:jc w:val="center"/>
              <w:rPr>
                <w:sz w:val="22"/>
                <w:szCs w:val="22"/>
              </w:rPr>
            </w:pPr>
            <w:proofErr w:type="spellStart"/>
            <w:r w:rsidRPr="001D77EC">
              <w:rPr>
                <w:i/>
                <w:sz w:val="22"/>
                <w:szCs w:val="22"/>
              </w:rPr>
              <w:t>eig</w:t>
            </w:r>
            <w:proofErr w:type="spellEnd"/>
            <w:r w:rsidRPr="001D77EC">
              <w:rPr>
                <w:sz w:val="22"/>
                <w:szCs w:val="22"/>
              </w:rPr>
              <w:t>(</w:t>
            </w:r>
            <w:r w:rsidRPr="001D77EC">
              <w:rPr>
                <w:b/>
                <w:i/>
                <w:sz w:val="22"/>
                <w:szCs w:val="22"/>
              </w:rPr>
              <w:t>M</w:t>
            </w:r>
            <w:r w:rsidRPr="001D77EC">
              <w:rPr>
                <w:sz w:val="22"/>
                <w:szCs w:val="22"/>
              </w:rPr>
              <w:t>)</w:t>
            </w:r>
          </w:p>
        </w:tc>
        <w:tc>
          <w:tcPr>
            <w:tcW w:w="1833" w:type="dxa"/>
            <w:shd w:val="clear" w:color="auto" w:fill="auto"/>
            <w:vAlign w:val="center"/>
          </w:tcPr>
          <w:p w:rsidR="00656381" w:rsidRPr="001D77EC" w:rsidRDefault="00656381" w:rsidP="00D06D1E">
            <w:pPr>
              <w:jc w:val="center"/>
              <w:rPr>
                <w:sz w:val="22"/>
                <w:szCs w:val="22"/>
              </w:rPr>
            </w:pPr>
            <w:r w:rsidRPr="001D77EC">
              <w:rPr>
                <w:sz w:val="22"/>
                <w:szCs w:val="22"/>
              </w:rPr>
              <w:t>0.99</w:t>
            </w:r>
          </w:p>
        </w:tc>
        <w:tc>
          <w:tcPr>
            <w:tcW w:w="1738" w:type="dxa"/>
            <w:shd w:val="clear" w:color="auto" w:fill="auto"/>
            <w:vAlign w:val="center"/>
          </w:tcPr>
          <w:p w:rsidR="00656381" w:rsidRPr="001D77EC" w:rsidRDefault="00656381" w:rsidP="00D06D1E">
            <w:pPr>
              <w:jc w:val="center"/>
              <w:rPr>
                <w:sz w:val="22"/>
                <w:szCs w:val="22"/>
              </w:rPr>
            </w:pPr>
            <w:r w:rsidRPr="001D77EC">
              <w:rPr>
                <w:sz w:val="22"/>
                <w:szCs w:val="22"/>
              </w:rPr>
              <w:t>0.99</w:t>
            </w:r>
          </w:p>
        </w:tc>
      </w:tr>
      <w:tr w:rsidR="00357B56" w:rsidRPr="001D77EC" w:rsidTr="00357B56">
        <w:trPr>
          <w:jc w:val="center"/>
        </w:trPr>
        <w:tc>
          <w:tcPr>
            <w:tcW w:w="5990" w:type="dxa"/>
            <w:gridSpan w:val="3"/>
            <w:shd w:val="clear" w:color="auto" w:fill="auto"/>
            <w:vAlign w:val="center"/>
          </w:tcPr>
          <w:p w:rsidR="00357B56" w:rsidRPr="00000157" w:rsidRDefault="00357B56" w:rsidP="00D06D1E">
            <w:pPr>
              <w:jc w:val="center"/>
              <w:rPr>
                <w:b/>
                <w:sz w:val="4"/>
                <w:szCs w:val="16"/>
              </w:rPr>
            </w:pPr>
          </w:p>
        </w:tc>
      </w:tr>
      <w:tr w:rsidR="00357B56" w:rsidRPr="001D77EC" w:rsidTr="00357B56">
        <w:trPr>
          <w:jc w:val="center"/>
        </w:trPr>
        <w:tc>
          <w:tcPr>
            <w:tcW w:w="5990" w:type="dxa"/>
            <w:gridSpan w:val="3"/>
            <w:shd w:val="clear" w:color="auto" w:fill="auto"/>
            <w:vAlign w:val="center"/>
          </w:tcPr>
          <w:p w:rsidR="00357B56" w:rsidRPr="001D77EC" w:rsidRDefault="00357B56" w:rsidP="00D06D1E">
            <w:pPr>
              <w:jc w:val="center"/>
              <w:rPr>
                <w:b/>
                <w:sz w:val="14"/>
                <w:szCs w:val="16"/>
              </w:rPr>
            </w:pPr>
            <w:r w:rsidRPr="001D77EC">
              <w:rPr>
                <w:b/>
                <w:sz w:val="22"/>
                <w:szCs w:val="16"/>
              </w:rPr>
              <w:t>Multivariate model:</w:t>
            </w:r>
          </w:p>
        </w:tc>
      </w:tr>
      <w:tr w:rsidR="00357B56" w:rsidRPr="001D77EC" w:rsidTr="00357B56">
        <w:trPr>
          <w:jc w:val="center"/>
        </w:trPr>
        <w:tc>
          <w:tcPr>
            <w:tcW w:w="2419" w:type="dxa"/>
            <w:shd w:val="clear" w:color="auto" w:fill="auto"/>
            <w:vAlign w:val="center"/>
          </w:tcPr>
          <w:p w:rsidR="00357B56" w:rsidRPr="001D77EC" w:rsidRDefault="00357B56" w:rsidP="00DC24E0">
            <w:pPr>
              <w:jc w:val="center"/>
              <w:rPr>
                <w:sz w:val="22"/>
                <w:szCs w:val="22"/>
              </w:rPr>
            </w:pPr>
          </w:p>
        </w:tc>
        <w:tc>
          <w:tcPr>
            <w:tcW w:w="1833" w:type="dxa"/>
            <w:shd w:val="clear" w:color="auto" w:fill="auto"/>
            <w:vAlign w:val="center"/>
          </w:tcPr>
          <w:p w:rsidR="00357B56" w:rsidRPr="001D77EC" w:rsidRDefault="00357B56" w:rsidP="00DC24E0">
            <w:pPr>
              <w:jc w:val="center"/>
              <w:rPr>
                <w:sz w:val="22"/>
                <w:szCs w:val="22"/>
              </w:rPr>
            </w:pPr>
            <w:r w:rsidRPr="001D77EC">
              <w:rPr>
                <w:sz w:val="22"/>
                <w:szCs w:val="22"/>
              </w:rPr>
              <w:t>Regime 1</w:t>
            </w:r>
          </w:p>
        </w:tc>
        <w:tc>
          <w:tcPr>
            <w:tcW w:w="1738" w:type="dxa"/>
            <w:shd w:val="clear" w:color="auto" w:fill="auto"/>
            <w:vAlign w:val="center"/>
          </w:tcPr>
          <w:p w:rsidR="00357B56" w:rsidRPr="001D77EC" w:rsidRDefault="00357B56" w:rsidP="00DC24E0">
            <w:pPr>
              <w:jc w:val="center"/>
              <w:rPr>
                <w:sz w:val="22"/>
                <w:szCs w:val="22"/>
              </w:rPr>
            </w:pPr>
            <w:r w:rsidRPr="001D77EC">
              <w:rPr>
                <w:sz w:val="22"/>
                <w:szCs w:val="22"/>
              </w:rPr>
              <w:t>Regime 2</w:t>
            </w:r>
          </w:p>
        </w:tc>
      </w:tr>
      <w:tr w:rsidR="00357B56" w:rsidRPr="001D77EC" w:rsidTr="00357B56">
        <w:trPr>
          <w:jc w:val="center"/>
        </w:trPr>
        <w:tc>
          <w:tcPr>
            <w:tcW w:w="2419" w:type="dxa"/>
            <w:shd w:val="clear" w:color="auto" w:fill="auto"/>
            <w:vAlign w:val="center"/>
          </w:tcPr>
          <w:p w:rsidR="00357B56" w:rsidRPr="001D77EC" w:rsidRDefault="00357B56" w:rsidP="00DC24E0">
            <w:pPr>
              <w:jc w:val="center"/>
              <w:rPr>
                <w:sz w:val="22"/>
                <w:szCs w:val="22"/>
              </w:rPr>
            </w:pPr>
            <w:r w:rsidRPr="001D77EC">
              <w:rPr>
                <w:sz w:val="22"/>
                <w:szCs w:val="22"/>
              </w:rPr>
              <w:t>Correlation coefficient</w:t>
            </w:r>
          </w:p>
        </w:tc>
        <w:tc>
          <w:tcPr>
            <w:tcW w:w="1833" w:type="dxa"/>
            <w:shd w:val="clear" w:color="auto" w:fill="auto"/>
            <w:vAlign w:val="center"/>
          </w:tcPr>
          <w:p w:rsidR="00357B56" w:rsidRPr="001D77EC" w:rsidRDefault="00357B56" w:rsidP="00DC24E0">
            <w:pPr>
              <w:jc w:val="center"/>
              <w:rPr>
                <w:sz w:val="22"/>
                <w:szCs w:val="22"/>
              </w:rPr>
            </w:pPr>
            <w:r w:rsidRPr="001D77EC">
              <w:rPr>
                <w:sz w:val="22"/>
                <w:szCs w:val="22"/>
              </w:rPr>
              <w:t>0.016 (0.488)</w:t>
            </w:r>
          </w:p>
        </w:tc>
        <w:tc>
          <w:tcPr>
            <w:tcW w:w="1738" w:type="dxa"/>
            <w:shd w:val="clear" w:color="auto" w:fill="auto"/>
            <w:vAlign w:val="center"/>
          </w:tcPr>
          <w:p w:rsidR="00357B56" w:rsidRPr="001D77EC" w:rsidRDefault="00357B56" w:rsidP="00DC24E0">
            <w:pPr>
              <w:jc w:val="center"/>
              <w:rPr>
                <w:sz w:val="22"/>
                <w:szCs w:val="22"/>
              </w:rPr>
            </w:pPr>
            <w:r w:rsidRPr="001D77EC">
              <w:rPr>
                <w:sz w:val="22"/>
                <w:szCs w:val="22"/>
              </w:rPr>
              <w:t>0.108 (0.037)</w:t>
            </w:r>
          </w:p>
        </w:tc>
      </w:tr>
      <w:tr w:rsidR="00357B56" w:rsidRPr="001D77EC" w:rsidTr="00357B56">
        <w:trPr>
          <w:jc w:val="center"/>
        </w:trPr>
        <w:tc>
          <w:tcPr>
            <w:tcW w:w="5990" w:type="dxa"/>
            <w:gridSpan w:val="3"/>
            <w:shd w:val="clear" w:color="auto" w:fill="auto"/>
            <w:vAlign w:val="center"/>
          </w:tcPr>
          <w:p w:rsidR="00357B56" w:rsidRPr="00000157" w:rsidRDefault="00357B56" w:rsidP="00DC24E0">
            <w:pPr>
              <w:jc w:val="center"/>
              <w:rPr>
                <w:sz w:val="4"/>
                <w:szCs w:val="22"/>
              </w:rPr>
            </w:pPr>
          </w:p>
        </w:tc>
      </w:tr>
      <w:tr w:rsidR="00357B56" w:rsidRPr="001D77EC" w:rsidTr="00357B56">
        <w:trPr>
          <w:jc w:val="center"/>
        </w:trPr>
        <w:tc>
          <w:tcPr>
            <w:tcW w:w="2419" w:type="dxa"/>
            <w:shd w:val="clear" w:color="auto" w:fill="auto"/>
            <w:vAlign w:val="center"/>
          </w:tcPr>
          <w:p w:rsidR="00357B56" w:rsidRPr="001D77EC" w:rsidRDefault="00357B56" w:rsidP="00DC24E0">
            <w:pPr>
              <w:jc w:val="center"/>
              <w:rPr>
                <w:sz w:val="22"/>
                <w:szCs w:val="22"/>
              </w:rPr>
            </w:pPr>
            <w:r w:rsidRPr="001D77EC">
              <w:rPr>
                <w:i/>
                <w:sz w:val="22"/>
                <w:szCs w:val="22"/>
              </w:rPr>
              <w:t>p</w:t>
            </w:r>
            <w:r w:rsidRPr="001D77EC">
              <w:rPr>
                <w:sz w:val="22"/>
                <w:szCs w:val="22"/>
                <w:vertAlign w:val="subscript"/>
              </w:rPr>
              <w:t>11</w:t>
            </w:r>
          </w:p>
        </w:tc>
        <w:tc>
          <w:tcPr>
            <w:tcW w:w="3571" w:type="dxa"/>
            <w:gridSpan w:val="2"/>
            <w:shd w:val="clear" w:color="auto" w:fill="auto"/>
            <w:vAlign w:val="center"/>
          </w:tcPr>
          <w:p w:rsidR="00357B56" w:rsidRPr="001D77EC" w:rsidRDefault="00357B56" w:rsidP="00357B56">
            <w:pPr>
              <w:jc w:val="center"/>
              <w:rPr>
                <w:sz w:val="22"/>
                <w:szCs w:val="22"/>
              </w:rPr>
            </w:pPr>
            <w:r w:rsidRPr="001D77EC">
              <w:rPr>
                <w:sz w:val="22"/>
                <w:szCs w:val="22"/>
              </w:rPr>
              <w:t>0.780</w:t>
            </w:r>
          </w:p>
        </w:tc>
      </w:tr>
      <w:tr w:rsidR="00357B56" w:rsidRPr="001D77EC" w:rsidTr="00357B56">
        <w:trPr>
          <w:jc w:val="center"/>
        </w:trPr>
        <w:tc>
          <w:tcPr>
            <w:tcW w:w="2419" w:type="dxa"/>
            <w:shd w:val="clear" w:color="auto" w:fill="auto"/>
            <w:vAlign w:val="center"/>
          </w:tcPr>
          <w:p w:rsidR="00357B56" w:rsidRPr="001D77EC" w:rsidRDefault="00357B56" w:rsidP="00DC24E0">
            <w:pPr>
              <w:jc w:val="center"/>
              <w:rPr>
                <w:sz w:val="22"/>
                <w:szCs w:val="22"/>
              </w:rPr>
            </w:pPr>
            <w:r w:rsidRPr="001D77EC">
              <w:rPr>
                <w:i/>
                <w:sz w:val="22"/>
                <w:szCs w:val="22"/>
              </w:rPr>
              <w:t>p</w:t>
            </w:r>
            <w:r w:rsidRPr="001D77EC">
              <w:rPr>
                <w:sz w:val="22"/>
                <w:szCs w:val="22"/>
                <w:vertAlign w:val="subscript"/>
              </w:rPr>
              <w:t>22</w:t>
            </w:r>
          </w:p>
        </w:tc>
        <w:tc>
          <w:tcPr>
            <w:tcW w:w="3571" w:type="dxa"/>
            <w:gridSpan w:val="2"/>
            <w:shd w:val="clear" w:color="auto" w:fill="auto"/>
            <w:vAlign w:val="center"/>
          </w:tcPr>
          <w:p w:rsidR="00357B56" w:rsidRPr="001D77EC" w:rsidRDefault="00357B56" w:rsidP="00357B56">
            <w:pPr>
              <w:jc w:val="center"/>
              <w:rPr>
                <w:sz w:val="22"/>
                <w:szCs w:val="22"/>
              </w:rPr>
            </w:pPr>
            <w:r w:rsidRPr="001D77EC">
              <w:rPr>
                <w:sz w:val="22"/>
                <w:szCs w:val="22"/>
              </w:rPr>
              <w:t>0.235</w:t>
            </w:r>
          </w:p>
        </w:tc>
      </w:tr>
      <w:tr w:rsidR="00196D21" w:rsidRPr="001D77EC" w:rsidTr="00DC24E0">
        <w:trPr>
          <w:jc w:val="center"/>
        </w:trPr>
        <w:tc>
          <w:tcPr>
            <w:tcW w:w="2419" w:type="dxa"/>
            <w:shd w:val="clear" w:color="auto" w:fill="auto"/>
            <w:vAlign w:val="center"/>
          </w:tcPr>
          <w:p w:rsidR="00196D21" w:rsidRPr="001D77EC" w:rsidRDefault="00196D21" w:rsidP="00DC24E0">
            <w:pPr>
              <w:jc w:val="center"/>
              <w:rPr>
                <w:sz w:val="22"/>
                <w:szCs w:val="22"/>
              </w:rPr>
            </w:pPr>
            <w:r w:rsidRPr="001D77EC">
              <w:rPr>
                <w:sz w:val="22"/>
                <w:szCs w:val="22"/>
              </w:rPr>
              <w:t>Log L</w:t>
            </w:r>
          </w:p>
        </w:tc>
        <w:tc>
          <w:tcPr>
            <w:tcW w:w="3571" w:type="dxa"/>
            <w:gridSpan w:val="2"/>
            <w:shd w:val="clear" w:color="auto" w:fill="auto"/>
            <w:vAlign w:val="center"/>
          </w:tcPr>
          <w:p w:rsidR="00196D21" w:rsidRPr="001D77EC" w:rsidRDefault="00196D21" w:rsidP="00DC24E0">
            <w:pPr>
              <w:jc w:val="center"/>
              <w:rPr>
                <w:sz w:val="22"/>
                <w:szCs w:val="22"/>
              </w:rPr>
            </w:pPr>
            <w:r w:rsidRPr="001D77EC">
              <w:rPr>
                <w:sz w:val="22"/>
                <w:szCs w:val="22"/>
              </w:rPr>
              <w:t>20809.8</w:t>
            </w:r>
          </w:p>
        </w:tc>
      </w:tr>
      <w:tr w:rsidR="00196D21" w:rsidRPr="001D77EC" w:rsidTr="00DC24E0">
        <w:trPr>
          <w:jc w:val="center"/>
        </w:trPr>
        <w:tc>
          <w:tcPr>
            <w:tcW w:w="2419" w:type="dxa"/>
            <w:shd w:val="clear" w:color="auto" w:fill="auto"/>
            <w:vAlign w:val="center"/>
          </w:tcPr>
          <w:p w:rsidR="00196D21" w:rsidRPr="001D77EC" w:rsidRDefault="00196D21" w:rsidP="00DC24E0">
            <w:pPr>
              <w:jc w:val="center"/>
              <w:rPr>
                <w:sz w:val="22"/>
                <w:szCs w:val="22"/>
              </w:rPr>
            </w:pPr>
            <w:r w:rsidRPr="001D77EC">
              <w:rPr>
                <w:sz w:val="22"/>
                <w:szCs w:val="22"/>
              </w:rPr>
              <w:t>Roots of MA System</w:t>
            </w:r>
          </w:p>
        </w:tc>
        <w:tc>
          <w:tcPr>
            <w:tcW w:w="3571" w:type="dxa"/>
            <w:gridSpan w:val="2"/>
            <w:shd w:val="clear" w:color="auto" w:fill="auto"/>
            <w:vAlign w:val="center"/>
          </w:tcPr>
          <w:p w:rsidR="00196D21" w:rsidRPr="001D77EC" w:rsidRDefault="00196D21" w:rsidP="00DC24E0">
            <w:pPr>
              <w:jc w:val="center"/>
              <w:rPr>
                <w:sz w:val="22"/>
                <w:szCs w:val="22"/>
              </w:rPr>
            </w:pPr>
            <w:r w:rsidRPr="001D77EC">
              <w:rPr>
                <w:sz w:val="22"/>
                <w:szCs w:val="22"/>
              </w:rPr>
              <w:t>0.896; 0.496</w:t>
            </w:r>
          </w:p>
        </w:tc>
      </w:tr>
    </w:tbl>
    <w:p w:rsidR="007636AE" w:rsidRPr="001D77EC" w:rsidRDefault="007636AE" w:rsidP="00000157">
      <w:pPr>
        <w:pStyle w:val="Tijeloteksta"/>
        <w:spacing w:before="120"/>
        <w:ind w:left="770" w:hanging="784"/>
        <w:jc w:val="left"/>
        <w:rPr>
          <w:b w:val="0"/>
          <w:sz w:val="22"/>
          <w:szCs w:val="22"/>
          <w:lang w:val="en-US"/>
        </w:rPr>
      </w:pPr>
      <w:r w:rsidRPr="001D77EC">
        <w:rPr>
          <w:b w:val="0"/>
          <w:sz w:val="22"/>
          <w:szCs w:val="22"/>
          <w:lang w:val="en-US"/>
        </w:rPr>
        <w:t xml:space="preserve">Table 1: Estimation results from univariate </w:t>
      </w:r>
      <w:r w:rsidR="00357B56" w:rsidRPr="001D77EC">
        <w:rPr>
          <w:b w:val="0"/>
          <w:sz w:val="22"/>
          <w:szCs w:val="22"/>
          <w:lang w:val="en-US"/>
        </w:rPr>
        <w:t xml:space="preserve">and multivariate </w:t>
      </w:r>
      <w:r w:rsidRPr="001D77EC">
        <w:rPr>
          <w:b w:val="0"/>
          <w:sz w:val="22"/>
          <w:szCs w:val="22"/>
          <w:lang w:val="en-US"/>
        </w:rPr>
        <w:t>regime switching models</w:t>
      </w:r>
    </w:p>
    <w:p w:rsidR="00CB10D9" w:rsidRPr="001D77EC" w:rsidRDefault="00CB10D9" w:rsidP="00000157">
      <w:pPr>
        <w:pStyle w:val="Tijeloteksta"/>
        <w:ind w:left="770" w:hanging="784"/>
        <w:jc w:val="both"/>
        <w:rPr>
          <w:b w:val="0"/>
          <w:sz w:val="22"/>
          <w:szCs w:val="22"/>
          <w:lang w:val="en-US"/>
        </w:rPr>
      </w:pPr>
      <w:r w:rsidRPr="001D77EC">
        <w:rPr>
          <w:b w:val="0"/>
          <w:sz w:val="22"/>
          <w:szCs w:val="22"/>
          <w:lang w:val="en-US"/>
        </w:rPr>
        <w:t xml:space="preserve">Note: </w:t>
      </w:r>
      <w:r w:rsidRPr="001D77EC">
        <w:rPr>
          <w:b w:val="0"/>
          <w:i/>
          <w:sz w:val="22"/>
          <w:szCs w:val="22"/>
          <w:lang w:val="en-US"/>
        </w:rPr>
        <w:t>p</w:t>
      </w:r>
      <w:r w:rsidRPr="001D77EC">
        <w:rPr>
          <w:b w:val="0"/>
          <w:sz w:val="22"/>
          <w:szCs w:val="22"/>
          <w:lang w:val="en-US"/>
        </w:rPr>
        <w:t xml:space="preserve">-values are given in brackets. Log L stands for log likelihood. </w:t>
      </w:r>
      <w:proofErr w:type="spellStart"/>
      <w:proofErr w:type="gramStart"/>
      <w:r w:rsidR="00656381" w:rsidRPr="001D77EC">
        <w:rPr>
          <w:b w:val="0"/>
          <w:sz w:val="22"/>
          <w:szCs w:val="22"/>
          <w:lang w:val="en-US"/>
        </w:rPr>
        <w:t>eig</w:t>
      </w:r>
      <w:proofErr w:type="spellEnd"/>
      <w:r w:rsidR="00656381" w:rsidRPr="001D77EC">
        <w:rPr>
          <w:b w:val="0"/>
          <w:sz w:val="22"/>
          <w:szCs w:val="22"/>
          <w:lang w:val="en-US"/>
        </w:rPr>
        <w:t>(</w:t>
      </w:r>
      <w:proofErr w:type="gramEnd"/>
      <w:r w:rsidR="00656381" w:rsidRPr="001D77EC">
        <w:rPr>
          <w:i/>
          <w:sz w:val="22"/>
          <w:szCs w:val="22"/>
          <w:lang w:val="en-US"/>
        </w:rPr>
        <w:t>M</w:t>
      </w:r>
      <w:r w:rsidR="00656381" w:rsidRPr="001D77EC">
        <w:rPr>
          <w:b w:val="0"/>
          <w:sz w:val="22"/>
          <w:szCs w:val="22"/>
          <w:lang w:val="en-US"/>
        </w:rPr>
        <w:t xml:space="preserve">) stands for the largest eigenvalue of matrix </w:t>
      </w:r>
      <w:r w:rsidR="00656381" w:rsidRPr="001D77EC">
        <w:rPr>
          <w:i/>
          <w:sz w:val="22"/>
          <w:szCs w:val="22"/>
          <w:lang w:val="en-US"/>
        </w:rPr>
        <w:t>M</w:t>
      </w:r>
      <w:r w:rsidR="00656381" w:rsidRPr="001D77EC">
        <w:rPr>
          <w:b w:val="0"/>
          <w:sz w:val="22"/>
          <w:szCs w:val="22"/>
          <w:lang w:val="en-US"/>
        </w:rPr>
        <w:t>.</w:t>
      </w:r>
    </w:p>
    <w:p w:rsidR="00AB7EFD" w:rsidRPr="00953E14" w:rsidRDefault="00AB7EFD" w:rsidP="00953E14">
      <w:pPr>
        <w:jc w:val="both"/>
        <w:rPr>
          <w:b/>
          <w:bCs/>
          <w:sz w:val="18"/>
        </w:rPr>
      </w:pPr>
    </w:p>
    <w:p w:rsidR="002321EE" w:rsidRPr="001D77EC" w:rsidRDefault="00873B0C" w:rsidP="002321EE">
      <w:pPr>
        <w:autoSpaceDE w:val="0"/>
        <w:autoSpaceDN w:val="0"/>
        <w:adjustRightInd w:val="0"/>
        <w:jc w:val="both"/>
        <w:rPr>
          <w:lang w:eastAsia="hr-HR"/>
        </w:rPr>
      </w:pPr>
      <w:r w:rsidRPr="001D77EC">
        <w:rPr>
          <w:lang w:eastAsia="hr-HR"/>
        </w:rPr>
        <w:t>Next, a CCC model without regimes</w:t>
      </w:r>
      <w:r w:rsidR="002321EE" w:rsidRPr="001D77EC">
        <w:rPr>
          <w:lang w:eastAsia="hr-HR"/>
        </w:rPr>
        <w:t xml:space="preserve"> was estimated</w:t>
      </w:r>
      <w:r w:rsidRPr="001D77EC">
        <w:rPr>
          <w:lang w:eastAsia="hr-HR"/>
        </w:rPr>
        <w:t xml:space="preserve">, in order to compare the two. In that way we can see if there truly exists a need </w:t>
      </w:r>
      <w:r w:rsidR="002321EE" w:rsidRPr="001D77EC">
        <w:rPr>
          <w:lang w:eastAsia="hr-HR"/>
        </w:rPr>
        <w:t>for regimes. Results are given in table 3.</w:t>
      </w:r>
      <w:r w:rsidR="00826C86" w:rsidRPr="001D77EC">
        <w:rPr>
          <w:lang w:eastAsia="hr-HR"/>
        </w:rPr>
        <w:t xml:space="preserve"> The value of log likelihood function is lower compared to the regime switching model. This is a first sign of a need for including this assumption into the analysis. </w:t>
      </w:r>
      <w:r w:rsidR="00CD6D85" w:rsidRPr="001D77EC">
        <w:rPr>
          <w:lang w:eastAsia="hr-HR"/>
        </w:rPr>
        <w:t xml:space="preserve">Stock return alpha is greater than bonds return, as it is in the regime switching model. However, the correlation coefficient is an average of the two regimes (being 0.058 compared to 0.016 and 0.108), which could be misleading.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848"/>
        <w:gridCol w:w="1848"/>
      </w:tblGrid>
      <w:tr w:rsidR="00DD3FF3" w:rsidRPr="001D77EC" w:rsidTr="00552F7B">
        <w:trPr>
          <w:jc w:val="center"/>
        </w:trPr>
        <w:tc>
          <w:tcPr>
            <w:tcW w:w="2340" w:type="dxa"/>
            <w:shd w:val="clear" w:color="auto" w:fill="auto"/>
            <w:vAlign w:val="center"/>
          </w:tcPr>
          <w:p w:rsidR="00DD3FF3" w:rsidRPr="001D77EC" w:rsidRDefault="00DD3FF3" w:rsidP="00552F7B">
            <w:pPr>
              <w:jc w:val="center"/>
              <w:rPr>
                <w:sz w:val="22"/>
                <w:szCs w:val="22"/>
              </w:rPr>
            </w:pPr>
            <w:r w:rsidRPr="001D77EC">
              <w:rPr>
                <w:sz w:val="22"/>
                <w:szCs w:val="22"/>
              </w:rPr>
              <w:t>Estimated parameters</w:t>
            </w:r>
          </w:p>
        </w:tc>
        <w:tc>
          <w:tcPr>
            <w:tcW w:w="1848" w:type="dxa"/>
            <w:shd w:val="clear" w:color="auto" w:fill="auto"/>
            <w:vAlign w:val="center"/>
          </w:tcPr>
          <w:p w:rsidR="00DD3FF3" w:rsidRPr="001D77EC" w:rsidRDefault="00DD3FF3" w:rsidP="00552F7B">
            <w:pPr>
              <w:jc w:val="center"/>
              <w:rPr>
                <w:sz w:val="22"/>
                <w:szCs w:val="22"/>
              </w:rPr>
            </w:pPr>
            <w:r w:rsidRPr="001D77EC">
              <w:rPr>
                <w:sz w:val="22"/>
                <w:szCs w:val="22"/>
              </w:rPr>
              <w:t>CROBEX</w:t>
            </w:r>
          </w:p>
        </w:tc>
        <w:tc>
          <w:tcPr>
            <w:tcW w:w="1848" w:type="dxa"/>
            <w:vAlign w:val="center"/>
          </w:tcPr>
          <w:p w:rsidR="00DD3FF3" w:rsidRPr="001D77EC" w:rsidRDefault="00DD3FF3" w:rsidP="00552F7B">
            <w:pPr>
              <w:jc w:val="center"/>
              <w:rPr>
                <w:sz w:val="22"/>
                <w:szCs w:val="22"/>
              </w:rPr>
            </w:pPr>
            <w:r w:rsidRPr="001D77EC">
              <w:rPr>
                <w:sz w:val="22"/>
                <w:szCs w:val="22"/>
              </w:rPr>
              <w:t>CROBIS</w:t>
            </w:r>
          </w:p>
        </w:tc>
      </w:tr>
      <w:tr w:rsidR="00DD3FF3" w:rsidRPr="001D77EC" w:rsidTr="00552F7B">
        <w:trPr>
          <w:jc w:val="center"/>
        </w:trPr>
        <w:tc>
          <w:tcPr>
            <w:tcW w:w="2340" w:type="dxa"/>
            <w:shd w:val="clear" w:color="auto" w:fill="auto"/>
            <w:vAlign w:val="center"/>
          </w:tcPr>
          <w:p w:rsidR="00DD3FF3" w:rsidRPr="001D77EC" w:rsidRDefault="00552F7B" w:rsidP="00552F7B">
            <w:pPr>
              <w:jc w:val="center"/>
              <w:rPr>
                <w:sz w:val="22"/>
                <w:szCs w:val="22"/>
              </w:rPr>
            </w:pPr>
            <w:r w:rsidRPr="001D77EC">
              <w:rPr>
                <w:position w:val="-10"/>
                <w:sz w:val="22"/>
                <w:szCs w:val="22"/>
              </w:rPr>
              <w:object w:dxaOrig="240" w:dyaOrig="320">
                <v:shape id="_x0000_i1053" type="#_x0000_t75" style="width:12.25pt;height:16.3pt" o:ole="">
                  <v:imagedata r:id="rId70" o:title=""/>
                </v:shape>
                <o:OLEObject Type="Embed" ProgID="Equation.DSMT4" ShapeID="_x0000_i1053" DrawAspect="Content" ObjectID="_1534532588" r:id="rId71"/>
              </w:object>
            </w:r>
          </w:p>
        </w:tc>
        <w:tc>
          <w:tcPr>
            <w:tcW w:w="1848" w:type="dxa"/>
            <w:shd w:val="clear" w:color="auto" w:fill="auto"/>
            <w:vAlign w:val="center"/>
          </w:tcPr>
          <w:p w:rsidR="00DD3FF3" w:rsidRPr="001D77EC" w:rsidRDefault="00552F7B" w:rsidP="00552F7B">
            <w:pPr>
              <w:jc w:val="center"/>
              <w:rPr>
                <w:sz w:val="22"/>
                <w:szCs w:val="22"/>
              </w:rPr>
            </w:pPr>
            <w:r w:rsidRPr="001D77EC">
              <w:rPr>
                <w:sz w:val="22"/>
                <w:szCs w:val="22"/>
              </w:rPr>
              <w:t>-0.0002 (0.181)</w:t>
            </w:r>
          </w:p>
        </w:tc>
        <w:tc>
          <w:tcPr>
            <w:tcW w:w="1848" w:type="dxa"/>
            <w:vAlign w:val="center"/>
          </w:tcPr>
          <w:p w:rsidR="00DD3FF3" w:rsidRPr="001D77EC" w:rsidRDefault="00552F7B" w:rsidP="00552F7B">
            <w:pPr>
              <w:jc w:val="center"/>
              <w:rPr>
                <w:sz w:val="22"/>
                <w:szCs w:val="22"/>
              </w:rPr>
            </w:pPr>
            <w:r w:rsidRPr="001D77EC">
              <w:rPr>
                <w:sz w:val="22"/>
                <w:szCs w:val="22"/>
              </w:rPr>
              <w:t>0.000004 (0.901)</w:t>
            </w:r>
          </w:p>
        </w:tc>
      </w:tr>
      <w:tr w:rsidR="00552F7B" w:rsidRPr="001D77EC" w:rsidTr="00552F7B">
        <w:trPr>
          <w:jc w:val="center"/>
        </w:trPr>
        <w:tc>
          <w:tcPr>
            <w:tcW w:w="2340" w:type="dxa"/>
            <w:shd w:val="clear" w:color="auto" w:fill="auto"/>
            <w:vAlign w:val="center"/>
          </w:tcPr>
          <w:p w:rsidR="00552F7B" w:rsidRPr="001D77EC" w:rsidRDefault="00552F7B" w:rsidP="00552F7B">
            <w:pPr>
              <w:jc w:val="center"/>
              <w:rPr>
                <w:sz w:val="22"/>
                <w:szCs w:val="22"/>
              </w:rPr>
            </w:pPr>
            <w:r w:rsidRPr="001D77EC">
              <w:rPr>
                <w:position w:val="-12"/>
                <w:sz w:val="22"/>
                <w:szCs w:val="22"/>
              </w:rPr>
              <w:object w:dxaOrig="300" w:dyaOrig="360">
                <v:shape id="_x0000_i1054" type="#_x0000_t75" style="width:14.95pt;height:18.35pt" o:ole="">
                  <v:imagedata r:id="rId72" o:title=""/>
                </v:shape>
                <o:OLEObject Type="Embed" ProgID="Equation.DSMT4" ShapeID="_x0000_i1054" DrawAspect="Content" ObjectID="_1534532589" r:id="rId73"/>
              </w:object>
            </w:r>
          </w:p>
        </w:tc>
        <w:tc>
          <w:tcPr>
            <w:tcW w:w="1848" w:type="dxa"/>
            <w:shd w:val="clear" w:color="auto" w:fill="auto"/>
            <w:vAlign w:val="center"/>
          </w:tcPr>
          <w:p w:rsidR="00552F7B" w:rsidRPr="001D77EC" w:rsidRDefault="00552F7B" w:rsidP="00552F7B">
            <w:pPr>
              <w:jc w:val="center"/>
              <w:rPr>
                <w:sz w:val="22"/>
                <w:szCs w:val="22"/>
              </w:rPr>
            </w:pPr>
            <w:r w:rsidRPr="001D77EC">
              <w:rPr>
                <w:sz w:val="22"/>
                <w:szCs w:val="22"/>
              </w:rPr>
              <w:t>0.000001 (0.000)</w:t>
            </w:r>
          </w:p>
        </w:tc>
        <w:tc>
          <w:tcPr>
            <w:tcW w:w="1848" w:type="dxa"/>
            <w:vAlign w:val="center"/>
          </w:tcPr>
          <w:p w:rsidR="00552F7B" w:rsidRPr="001D77EC" w:rsidRDefault="00552F7B" w:rsidP="00552F7B">
            <w:pPr>
              <w:jc w:val="center"/>
              <w:rPr>
                <w:sz w:val="22"/>
                <w:szCs w:val="22"/>
              </w:rPr>
            </w:pPr>
            <w:r w:rsidRPr="001D77EC">
              <w:rPr>
                <w:sz w:val="22"/>
                <w:szCs w:val="22"/>
              </w:rPr>
              <w:t>4.7</w:t>
            </w:r>
            <w:r w:rsidRPr="001D77EC">
              <w:rPr>
                <w:rFonts w:ascii="Calibri" w:hAnsi="Calibri"/>
                <w:sz w:val="22"/>
                <w:szCs w:val="22"/>
              </w:rPr>
              <w:t>∙</w:t>
            </w:r>
            <w:r w:rsidRPr="001D77EC">
              <w:rPr>
                <w:sz w:val="22"/>
                <w:szCs w:val="22"/>
              </w:rPr>
              <w:t>10</w:t>
            </w:r>
            <w:r w:rsidRPr="001D77EC">
              <w:rPr>
                <w:sz w:val="22"/>
                <w:szCs w:val="22"/>
                <w:vertAlign w:val="superscript"/>
              </w:rPr>
              <w:t>-8</w:t>
            </w:r>
            <w:r w:rsidRPr="001D77EC">
              <w:rPr>
                <w:sz w:val="22"/>
                <w:szCs w:val="22"/>
              </w:rPr>
              <w:t xml:space="preserve"> (0.000)</w:t>
            </w:r>
          </w:p>
        </w:tc>
      </w:tr>
      <w:tr w:rsidR="00552F7B" w:rsidRPr="001D77EC" w:rsidTr="00552F7B">
        <w:trPr>
          <w:jc w:val="center"/>
        </w:trPr>
        <w:tc>
          <w:tcPr>
            <w:tcW w:w="2340" w:type="dxa"/>
            <w:shd w:val="clear" w:color="auto" w:fill="auto"/>
            <w:vAlign w:val="center"/>
          </w:tcPr>
          <w:p w:rsidR="00552F7B" w:rsidRPr="001D77EC" w:rsidRDefault="00552F7B" w:rsidP="00552F7B">
            <w:pPr>
              <w:jc w:val="center"/>
              <w:rPr>
                <w:sz w:val="22"/>
                <w:szCs w:val="22"/>
              </w:rPr>
            </w:pPr>
            <w:r w:rsidRPr="001D77EC">
              <w:rPr>
                <w:position w:val="-12"/>
                <w:sz w:val="22"/>
                <w:szCs w:val="22"/>
              </w:rPr>
              <w:object w:dxaOrig="279" w:dyaOrig="360">
                <v:shape id="_x0000_i1055" type="#_x0000_t75" style="width:14.25pt;height:18.35pt" o:ole="">
                  <v:imagedata r:id="rId74" o:title=""/>
                </v:shape>
                <o:OLEObject Type="Embed" ProgID="Equation.DSMT4" ShapeID="_x0000_i1055" DrawAspect="Content" ObjectID="_1534532590" r:id="rId75"/>
              </w:object>
            </w:r>
          </w:p>
        </w:tc>
        <w:tc>
          <w:tcPr>
            <w:tcW w:w="1848" w:type="dxa"/>
            <w:shd w:val="clear" w:color="auto" w:fill="auto"/>
            <w:vAlign w:val="center"/>
          </w:tcPr>
          <w:p w:rsidR="00552F7B" w:rsidRPr="001D77EC" w:rsidRDefault="00552F7B" w:rsidP="00552F7B">
            <w:pPr>
              <w:jc w:val="center"/>
              <w:rPr>
                <w:sz w:val="22"/>
                <w:szCs w:val="22"/>
              </w:rPr>
            </w:pPr>
            <w:r w:rsidRPr="001D77EC">
              <w:rPr>
                <w:sz w:val="22"/>
                <w:szCs w:val="22"/>
              </w:rPr>
              <w:t>0.108 (0.000)</w:t>
            </w:r>
          </w:p>
        </w:tc>
        <w:tc>
          <w:tcPr>
            <w:tcW w:w="1848" w:type="dxa"/>
            <w:vAlign w:val="center"/>
          </w:tcPr>
          <w:p w:rsidR="00552F7B" w:rsidRPr="001D77EC" w:rsidRDefault="00552F7B" w:rsidP="00552F7B">
            <w:pPr>
              <w:jc w:val="center"/>
              <w:rPr>
                <w:sz w:val="22"/>
                <w:szCs w:val="22"/>
              </w:rPr>
            </w:pPr>
            <w:r w:rsidRPr="001D77EC">
              <w:rPr>
                <w:sz w:val="22"/>
                <w:szCs w:val="22"/>
              </w:rPr>
              <w:t>0.076 (0.000)</w:t>
            </w:r>
          </w:p>
        </w:tc>
      </w:tr>
      <w:tr w:rsidR="00552F7B" w:rsidRPr="001D77EC" w:rsidTr="00552F7B">
        <w:trPr>
          <w:jc w:val="center"/>
        </w:trPr>
        <w:tc>
          <w:tcPr>
            <w:tcW w:w="2340" w:type="dxa"/>
            <w:shd w:val="clear" w:color="auto" w:fill="auto"/>
            <w:vAlign w:val="center"/>
          </w:tcPr>
          <w:p w:rsidR="00552F7B" w:rsidRPr="001D77EC" w:rsidRDefault="00552F7B" w:rsidP="00552F7B">
            <w:pPr>
              <w:jc w:val="center"/>
              <w:rPr>
                <w:sz w:val="22"/>
                <w:szCs w:val="22"/>
              </w:rPr>
            </w:pPr>
            <w:r w:rsidRPr="001D77EC">
              <w:rPr>
                <w:position w:val="-12"/>
                <w:sz w:val="22"/>
                <w:szCs w:val="22"/>
              </w:rPr>
              <w:object w:dxaOrig="279" w:dyaOrig="400">
                <v:shape id="_x0000_i1056" type="#_x0000_t75" style="width:14.25pt;height:20.4pt" o:ole="">
                  <v:imagedata r:id="rId76" o:title=""/>
                </v:shape>
                <o:OLEObject Type="Embed" ProgID="Equation.DSMT4" ShapeID="_x0000_i1056" DrawAspect="Content" ObjectID="_1534532591" r:id="rId77"/>
              </w:object>
            </w:r>
          </w:p>
        </w:tc>
        <w:tc>
          <w:tcPr>
            <w:tcW w:w="1848" w:type="dxa"/>
            <w:shd w:val="clear" w:color="auto" w:fill="auto"/>
            <w:vAlign w:val="center"/>
          </w:tcPr>
          <w:p w:rsidR="00552F7B" w:rsidRPr="001D77EC" w:rsidRDefault="00552F7B" w:rsidP="00552F7B">
            <w:pPr>
              <w:jc w:val="center"/>
              <w:rPr>
                <w:sz w:val="22"/>
                <w:szCs w:val="22"/>
              </w:rPr>
            </w:pPr>
            <w:r w:rsidRPr="001D77EC">
              <w:rPr>
                <w:sz w:val="22"/>
                <w:szCs w:val="22"/>
              </w:rPr>
              <w:t>0.890 (0.000)</w:t>
            </w:r>
          </w:p>
        </w:tc>
        <w:tc>
          <w:tcPr>
            <w:tcW w:w="1848" w:type="dxa"/>
            <w:vAlign w:val="center"/>
          </w:tcPr>
          <w:p w:rsidR="00552F7B" w:rsidRPr="001D77EC" w:rsidRDefault="00552F7B" w:rsidP="00552F7B">
            <w:pPr>
              <w:jc w:val="center"/>
              <w:rPr>
                <w:sz w:val="22"/>
                <w:szCs w:val="22"/>
              </w:rPr>
            </w:pPr>
            <w:r w:rsidRPr="001D77EC">
              <w:rPr>
                <w:sz w:val="22"/>
                <w:szCs w:val="22"/>
              </w:rPr>
              <w:t>0.916 (0.000)</w:t>
            </w:r>
          </w:p>
        </w:tc>
      </w:tr>
      <w:tr w:rsidR="00552F7B" w:rsidRPr="001D77EC" w:rsidTr="00552F7B">
        <w:trPr>
          <w:jc w:val="center"/>
        </w:trPr>
        <w:tc>
          <w:tcPr>
            <w:tcW w:w="2340" w:type="dxa"/>
            <w:shd w:val="clear" w:color="auto" w:fill="auto"/>
            <w:vAlign w:val="center"/>
          </w:tcPr>
          <w:p w:rsidR="00552F7B" w:rsidRPr="001D77EC" w:rsidRDefault="00552F7B" w:rsidP="00552F7B">
            <w:pPr>
              <w:jc w:val="center"/>
              <w:rPr>
                <w:sz w:val="22"/>
                <w:szCs w:val="22"/>
              </w:rPr>
            </w:pPr>
            <w:r w:rsidRPr="001D77EC">
              <w:rPr>
                <w:sz w:val="22"/>
                <w:szCs w:val="22"/>
              </w:rPr>
              <w:t>Correlation coefficient</w:t>
            </w:r>
          </w:p>
        </w:tc>
        <w:tc>
          <w:tcPr>
            <w:tcW w:w="3696" w:type="dxa"/>
            <w:gridSpan w:val="2"/>
            <w:shd w:val="clear" w:color="auto" w:fill="auto"/>
            <w:vAlign w:val="center"/>
          </w:tcPr>
          <w:p w:rsidR="00552F7B" w:rsidRPr="001D77EC" w:rsidRDefault="00552F7B" w:rsidP="00552F7B">
            <w:pPr>
              <w:jc w:val="center"/>
              <w:rPr>
                <w:sz w:val="22"/>
                <w:szCs w:val="22"/>
              </w:rPr>
            </w:pPr>
            <w:r w:rsidRPr="001D77EC">
              <w:rPr>
                <w:sz w:val="22"/>
                <w:szCs w:val="22"/>
              </w:rPr>
              <w:t>0.058 (0.002)</w:t>
            </w:r>
          </w:p>
        </w:tc>
      </w:tr>
      <w:tr w:rsidR="00552F7B" w:rsidRPr="001D77EC" w:rsidTr="00552F7B">
        <w:trPr>
          <w:jc w:val="center"/>
        </w:trPr>
        <w:tc>
          <w:tcPr>
            <w:tcW w:w="2340" w:type="dxa"/>
            <w:shd w:val="clear" w:color="auto" w:fill="auto"/>
            <w:vAlign w:val="center"/>
          </w:tcPr>
          <w:p w:rsidR="00552F7B" w:rsidRPr="001D77EC" w:rsidRDefault="00552F7B" w:rsidP="00552F7B">
            <w:pPr>
              <w:jc w:val="center"/>
              <w:rPr>
                <w:sz w:val="22"/>
                <w:szCs w:val="22"/>
              </w:rPr>
            </w:pPr>
            <w:r w:rsidRPr="001D77EC">
              <w:rPr>
                <w:sz w:val="22"/>
                <w:szCs w:val="22"/>
              </w:rPr>
              <w:t>Log L</w:t>
            </w:r>
          </w:p>
        </w:tc>
        <w:tc>
          <w:tcPr>
            <w:tcW w:w="3696" w:type="dxa"/>
            <w:gridSpan w:val="2"/>
            <w:shd w:val="clear" w:color="auto" w:fill="auto"/>
            <w:vAlign w:val="center"/>
          </w:tcPr>
          <w:p w:rsidR="00552F7B" w:rsidRPr="001D77EC" w:rsidRDefault="00552F7B" w:rsidP="00552F7B">
            <w:pPr>
              <w:jc w:val="center"/>
              <w:rPr>
                <w:sz w:val="22"/>
                <w:szCs w:val="22"/>
              </w:rPr>
            </w:pPr>
            <w:r w:rsidRPr="001D77EC">
              <w:rPr>
                <w:sz w:val="22"/>
                <w:szCs w:val="22"/>
              </w:rPr>
              <w:t>18541.09</w:t>
            </w:r>
          </w:p>
        </w:tc>
      </w:tr>
    </w:tbl>
    <w:p w:rsidR="002321EE" w:rsidRPr="001D77EC" w:rsidRDefault="002321EE" w:rsidP="002321EE">
      <w:pPr>
        <w:pStyle w:val="Tijeloteksta"/>
        <w:spacing w:before="120"/>
        <w:ind w:left="770" w:hanging="784"/>
        <w:jc w:val="left"/>
        <w:rPr>
          <w:b w:val="0"/>
          <w:sz w:val="22"/>
          <w:szCs w:val="22"/>
          <w:lang w:val="en-US"/>
        </w:rPr>
      </w:pPr>
      <w:r w:rsidRPr="001D77EC">
        <w:rPr>
          <w:b w:val="0"/>
          <w:sz w:val="22"/>
          <w:szCs w:val="22"/>
          <w:lang w:val="en-US"/>
        </w:rPr>
        <w:t>Table 3: Estimation results from multivariate CCC model without regimes</w:t>
      </w:r>
    </w:p>
    <w:p w:rsidR="00357B56" w:rsidRPr="00953E14" w:rsidRDefault="00357B56" w:rsidP="00953E14">
      <w:pPr>
        <w:jc w:val="both"/>
        <w:rPr>
          <w:b/>
          <w:bCs/>
          <w:sz w:val="18"/>
        </w:rPr>
      </w:pPr>
    </w:p>
    <w:p w:rsidR="008D46EB" w:rsidRDefault="00357B56" w:rsidP="00357B56">
      <w:pPr>
        <w:autoSpaceDE w:val="0"/>
        <w:autoSpaceDN w:val="0"/>
        <w:adjustRightInd w:val="0"/>
        <w:jc w:val="both"/>
      </w:pPr>
      <w:r w:rsidRPr="001D77EC">
        <w:rPr>
          <w:lang w:eastAsia="hr-HR"/>
        </w:rPr>
        <w:t xml:space="preserve">Since this methodology can be used in portfolio management, </w:t>
      </w:r>
      <w:r w:rsidR="00196D21" w:rsidRPr="001D77EC">
        <w:rPr>
          <w:lang w:eastAsia="hr-HR"/>
        </w:rPr>
        <w:t>some</w:t>
      </w:r>
      <w:r w:rsidRPr="001D77EC">
        <w:rPr>
          <w:lang w:eastAsia="hr-HR"/>
        </w:rPr>
        <w:t xml:space="preserve"> application</w:t>
      </w:r>
      <w:r w:rsidR="00196D21" w:rsidRPr="001D77EC">
        <w:rPr>
          <w:lang w:eastAsia="hr-HR"/>
        </w:rPr>
        <w:t>s</w:t>
      </w:r>
      <w:r w:rsidRPr="001D77EC">
        <w:rPr>
          <w:lang w:eastAsia="hr-HR"/>
        </w:rPr>
        <w:t xml:space="preserve"> ha</w:t>
      </w:r>
      <w:r w:rsidR="00196D21" w:rsidRPr="001D77EC">
        <w:rPr>
          <w:lang w:eastAsia="hr-HR"/>
        </w:rPr>
        <w:t>ve</w:t>
      </w:r>
      <w:r w:rsidRPr="001D77EC">
        <w:rPr>
          <w:lang w:eastAsia="hr-HR"/>
        </w:rPr>
        <w:t xml:space="preserve"> been made. Kroner and Ng </w:t>
      </w:r>
      <w:r w:rsidR="00C57448">
        <w:rPr>
          <w:lang w:eastAsia="hr-HR"/>
        </w:rPr>
        <w:t>[22]</w:t>
      </w:r>
      <w:r w:rsidRPr="001D77EC">
        <w:rPr>
          <w:lang w:eastAsia="hr-HR"/>
        </w:rPr>
        <w:t xml:space="preserve"> derived optimal portfolio weights for two assets with the expression: </w:t>
      </w:r>
      <w:r w:rsidR="00196D21" w:rsidRPr="001D77EC">
        <w:rPr>
          <w:position w:val="-18"/>
        </w:rPr>
        <w:object w:dxaOrig="3780" w:dyaOrig="480">
          <v:shape id="_x0000_i1057" type="#_x0000_t75" style="width:157.6pt;height:20.4pt" o:ole="">
            <v:imagedata r:id="rId78" o:title=""/>
          </v:shape>
          <o:OLEObject Type="Embed" ProgID="Equation.DSMT4" ShapeID="_x0000_i1057" DrawAspect="Content" ObjectID="_1534532592" r:id="rId79"/>
        </w:object>
      </w:r>
      <w:r w:rsidRPr="001D77EC">
        <w:t xml:space="preserve">, where </w:t>
      </w:r>
      <w:r w:rsidRPr="001D77EC">
        <w:rPr>
          <w:position w:val="-14"/>
        </w:rPr>
        <w:object w:dxaOrig="380" w:dyaOrig="420">
          <v:shape id="_x0000_i1058" type="#_x0000_t75" style="width:19pt;height:21.05pt" o:ole="">
            <v:imagedata r:id="rId80" o:title=""/>
          </v:shape>
          <o:OLEObject Type="Embed" ProgID="Equation.DSMT4" ShapeID="_x0000_i1058" DrawAspect="Content" ObjectID="_1534532593" r:id="rId81"/>
        </w:object>
      </w:r>
      <w:r w:rsidRPr="001D77EC">
        <w:t xml:space="preserve"> denotes optimal portfolio weight for the first asset, </w:t>
      </w:r>
      <w:r w:rsidRPr="001D77EC">
        <w:rPr>
          <w:position w:val="-14"/>
        </w:rPr>
        <w:object w:dxaOrig="380" w:dyaOrig="420">
          <v:shape id="_x0000_i1059" type="#_x0000_t75" style="width:19pt;height:21.05pt" o:ole="">
            <v:imagedata r:id="rId82" o:title=""/>
          </v:shape>
          <o:OLEObject Type="Embed" ProgID="Equation.DSMT4" ShapeID="_x0000_i1059" DrawAspect="Content" ObjectID="_1534532594" r:id="rId83"/>
        </w:object>
      </w:r>
      <w:r w:rsidRPr="001D77EC">
        <w:t xml:space="preserve"> first asset variance, </w:t>
      </w:r>
      <w:r w:rsidRPr="001D77EC">
        <w:rPr>
          <w:position w:val="-14"/>
        </w:rPr>
        <w:object w:dxaOrig="400" w:dyaOrig="420">
          <v:shape id="_x0000_i1060" type="#_x0000_t75" style="width:19.7pt;height:21.05pt" o:ole="">
            <v:imagedata r:id="rId84" o:title=""/>
          </v:shape>
          <o:OLEObject Type="Embed" ProgID="Equation.DSMT4" ShapeID="_x0000_i1060" DrawAspect="Content" ObjectID="_1534532595" r:id="rId85"/>
        </w:object>
      </w:r>
      <w:r w:rsidRPr="001D77EC">
        <w:t xml:space="preserve"> second asset variance and </w:t>
      </w:r>
      <w:r w:rsidRPr="001D77EC">
        <w:rPr>
          <w:position w:val="-14"/>
        </w:rPr>
        <w:object w:dxaOrig="480" w:dyaOrig="380">
          <v:shape id="_x0000_i1061" type="#_x0000_t75" style="width:23.75pt;height:19pt" o:ole="">
            <v:imagedata r:id="rId86" o:title=""/>
          </v:shape>
          <o:OLEObject Type="Embed" ProgID="Equation.DSMT4" ShapeID="_x0000_i1061" DrawAspect="Content" ObjectID="_1534532596" r:id="rId87"/>
        </w:object>
      </w:r>
      <w:r w:rsidRPr="001D77EC">
        <w:t xml:space="preserve"> the covariance in time </w:t>
      </w:r>
      <w:r w:rsidRPr="001D77EC">
        <w:rPr>
          <w:i/>
        </w:rPr>
        <w:t>t</w:t>
      </w:r>
      <w:r w:rsidRPr="001D77EC">
        <w:t xml:space="preserve">. Conditional variances and covariances have been estimated for each day in both models, and </w:t>
      </w:r>
      <w:r w:rsidR="006F2925" w:rsidRPr="001D77EC">
        <w:t>optimal portfolio weights have been calculated. Figure 1 shows the differences in optimal weight of CROBEX. The non switching model constantly includes more stocks in the portfolio over time.</w:t>
      </w:r>
      <w:r w:rsidR="008D46EB">
        <w:t xml:space="preserve"> Both models however</w:t>
      </w:r>
      <w:r w:rsidR="003A1C86">
        <w:t>,</w:t>
      </w:r>
      <w:r w:rsidR="008D46EB">
        <w:t xml:space="preserve"> show that fewer stocks should have been included in the portfolio in crisis period. In the last few</w:t>
      </w:r>
      <w:r w:rsidR="006F2925" w:rsidRPr="001D77EC">
        <w:t xml:space="preserve"> </w:t>
      </w:r>
      <w:r w:rsidR="008D46EB">
        <w:t xml:space="preserve">years, the </w:t>
      </w:r>
      <w:r w:rsidR="000A0786">
        <w:t xml:space="preserve">stock </w:t>
      </w:r>
      <w:r w:rsidR="008D46EB">
        <w:t>weight has increased, because the market is getting more stabilized</w:t>
      </w:r>
      <w:r w:rsidR="000A0786">
        <w:t xml:space="preserve"> and stocks provide greater returns</w:t>
      </w:r>
      <w:r w:rsidR="008D46EB">
        <w:t xml:space="preserve">. </w:t>
      </w:r>
    </w:p>
    <w:p w:rsidR="00000157" w:rsidRPr="00000157" w:rsidRDefault="00000157" w:rsidP="00357B56">
      <w:pPr>
        <w:autoSpaceDE w:val="0"/>
        <w:autoSpaceDN w:val="0"/>
        <w:adjustRightInd w:val="0"/>
        <w:jc w:val="both"/>
        <w:rPr>
          <w:sz w:val="16"/>
        </w:rPr>
      </w:pPr>
    </w:p>
    <w:p w:rsidR="00000157" w:rsidRPr="001D77EC" w:rsidRDefault="00000157" w:rsidP="00000157">
      <w:pPr>
        <w:autoSpaceDE w:val="0"/>
        <w:autoSpaceDN w:val="0"/>
        <w:adjustRightInd w:val="0"/>
        <w:jc w:val="center"/>
        <w:rPr>
          <w:lang w:eastAsia="hr-HR"/>
        </w:rPr>
      </w:pPr>
      <w:r w:rsidRPr="001D77EC">
        <w:rPr>
          <w:noProof/>
          <w:lang w:val="hr-HR" w:eastAsia="hr-HR"/>
        </w:rPr>
        <w:drawing>
          <wp:inline distT="0" distB="0" distL="0" distR="0">
            <wp:extent cx="4061244" cy="1975449"/>
            <wp:effectExtent l="19050" t="0" r="0" b="0"/>
            <wp:docPr id="1" name="Slik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8" cstate="print"/>
                    <a:srcRect/>
                    <a:stretch>
                      <a:fillRect/>
                    </a:stretch>
                  </pic:blipFill>
                  <pic:spPr bwMode="auto">
                    <a:xfrm>
                      <a:off x="0" y="0"/>
                      <a:ext cx="4065210" cy="1977378"/>
                    </a:xfrm>
                    <a:prstGeom prst="rect">
                      <a:avLst/>
                    </a:prstGeom>
                    <a:noFill/>
                    <a:ln w="9525">
                      <a:noFill/>
                      <a:miter lim="800000"/>
                      <a:headEnd/>
                      <a:tailEnd/>
                    </a:ln>
                  </pic:spPr>
                </pic:pic>
              </a:graphicData>
            </a:graphic>
          </wp:inline>
        </w:drawing>
      </w:r>
    </w:p>
    <w:p w:rsidR="00000157" w:rsidRPr="001D77EC" w:rsidRDefault="00000157" w:rsidP="00000157">
      <w:pPr>
        <w:pStyle w:val="Tijeloteksta"/>
        <w:spacing w:before="120"/>
        <w:ind w:left="1080" w:hanging="1080"/>
        <w:rPr>
          <w:b w:val="0"/>
          <w:sz w:val="22"/>
          <w:szCs w:val="22"/>
          <w:lang w:val="en-US"/>
        </w:rPr>
      </w:pPr>
      <w:r w:rsidRPr="001D77EC">
        <w:rPr>
          <w:b w:val="0"/>
          <w:sz w:val="22"/>
          <w:szCs w:val="22"/>
          <w:lang w:val="en-US"/>
        </w:rPr>
        <w:t>Figure 1: Optimal portfolio weight for CROBEX, non switching model (black line) and regime switching model (gray line)</w:t>
      </w:r>
    </w:p>
    <w:p w:rsidR="00000157" w:rsidRPr="00000157" w:rsidRDefault="00000157" w:rsidP="00357B56">
      <w:pPr>
        <w:autoSpaceDE w:val="0"/>
        <w:autoSpaceDN w:val="0"/>
        <w:adjustRightInd w:val="0"/>
        <w:jc w:val="both"/>
        <w:rPr>
          <w:sz w:val="16"/>
        </w:rPr>
      </w:pPr>
    </w:p>
    <w:p w:rsidR="00357B56" w:rsidRDefault="006F2925" w:rsidP="00357B56">
      <w:pPr>
        <w:autoSpaceDE w:val="0"/>
        <w:autoSpaceDN w:val="0"/>
        <w:adjustRightInd w:val="0"/>
        <w:jc w:val="both"/>
      </w:pPr>
      <w:r w:rsidRPr="001D77EC">
        <w:t>Test for differences in average portfolio weights has been made, and on usual levels of statistical significance, the two differ (</w:t>
      </w:r>
      <w:r w:rsidRPr="00B44F29">
        <w:rPr>
          <w:i/>
        </w:rPr>
        <w:t>z</w:t>
      </w:r>
      <w:r w:rsidRPr="001D77EC">
        <w:t xml:space="preserve">-test value is equal to 29.86 with </w:t>
      </w:r>
      <w:r w:rsidRPr="001D77EC">
        <w:rPr>
          <w:i/>
        </w:rPr>
        <w:t>p</w:t>
      </w:r>
      <w:r w:rsidRPr="001D77EC">
        <w:t>-value 0.000).</w:t>
      </w:r>
      <w:r w:rsidR="00196D21" w:rsidRPr="001D77EC">
        <w:t xml:space="preserve"> Thus, the expected returns and risks of two portfolios from these models could differ as well. Before we compare them, efficient </w:t>
      </w:r>
      <w:r w:rsidR="00645CCE" w:rsidRPr="001D77EC">
        <w:t xml:space="preserve">frontiers from Markowitz portfolio theory have been constructed for both models. As it can be seen in figure 2, the differences are </w:t>
      </w:r>
      <w:r w:rsidR="00B44F29">
        <w:t>substantial</w:t>
      </w:r>
      <w:r w:rsidR="00645CCE" w:rsidRPr="001D77EC">
        <w:t xml:space="preserve">. With the assumption of no regimes, it is not possible to achieve positive returns. However, this changes if the investor takes advantage of the two regime model. When regime 1 occurs, he could achieve positive returns. When regime 2 occurs, he could invest on other markets (exchange rate, metals, etc.) in order to avoid loses. </w:t>
      </w:r>
    </w:p>
    <w:p w:rsidR="00AB7EFD" w:rsidRPr="00953E14" w:rsidRDefault="00AB7EFD" w:rsidP="00953E14">
      <w:pPr>
        <w:jc w:val="both"/>
        <w:rPr>
          <w:b/>
          <w:bCs/>
          <w:sz w:val="18"/>
        </w:rPr>
      </w:pPr>
    </w:p>
    <w:p w:rsidR="00E21609" w:rsidRPr="001D77EC" w:rsidRDefault="00E21609" w:rsidP="00E21609">
      <w:pPr>
        <w:autoSpaceDE w:val="0"/>
        <w:autoSpaceDN w:val="0"/>
        <w:adjustRightInd w:val="0"/>
        <w:jc w:val="center"/>
        <w:rPr>
          <w:lang w:eastAsia="hr-HR"/>
        </w:rPr>
      </w:pPr>
      <w:r w:rsidRPr="001D77EC">
        <w:rPr>
          <w:noProof/>
          <w:lang w:val="hr-HR" w:eastAsia="hr-HR"/>
        </w:rPr>
        <w:lastRenderedPageBreak/>
        <w:drawing>
          <wp:inline distT="0" distB="0" distL="0" distR="0">
            <wp:extent cx="4072148" cy="2018205"/>
            <wp:effectExtent l="19050" t="0" r="4552" b="0"/>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cstate="print"/>
                    <a:srcRect/>
                    <a:stretch>
                      <a:fillRect/>
                    </a:stretch>
                  </pic:blipFill>
                  <pic:spPr bwMode="auto">
                    <a:xfrm>
                      <a:off x="0" y="0"/>
                      <a:ext cx="4072148" cy="2018205"/>
                    </a:xfrm>
                    <a:prstGeom prst="rect">
                      <a:avLst/>
                    </a:prstGeom>
                    <a:noFill/>
                    <a:ln w="9525">
                      <a:noFill/>
                      <a:miter lim="800000"/>
                      <a:headEnd/>
                      <a:tailEnd/>
                    </a:ln>
                  </pic:spPr>
                </pic:pic>
              </a:graphicData>
            </a:graphic>
          </wp:inline>
        </w:drawing>
      </w:r>
    </w:p>
    <w:p w:rsidR="00E21609" w:rsidRPr="001D77EC" w:rsidRDefault="00645CCE" w:rsidP="00E21609">
      <w:pPr>
        <w:autoSpaceDE w:val="0"/>
        <w:autoSpaceDN w:val="0"/>
        <w:adjustRightInd w:val="0"/>
        <w:jc w:val="center"/>
        <w:rPr>
          <w:lang w:eastAsia="hr-HR"/>
        </w:rPr>
      </w:pPr>
      <w:r w:rsidRPr="001D77EC">
        <w:rPr>
          <w:sz w:val="22"/>
          <w:szCs w:val="22"/>
        </w:rPr>
        <w:t>Figure 2: Efficient frontiers, non switching model (dashed line) and regime switching (black line – regime 1, gray line – regime 2)</w:t>
      </w:r>
    </w:p>
    <w:p w:rsidR="0064454F" w:rsidRPr="00953E14" w:rsidRDefault="0064454F" w:rsidP="00953E14">
      <w:pPr>
        <w:jc w:val="both"/>
        <w:rPr>
          <w:b/>
          <w:bCs/>
          <w:sz w:val="18"/>
        </w:rPr>
      </w:pPr>
    </w:p>
    <w:tbl>
      <w:tblPr>
        <w:tblStyle w:val="Reetkatablice"/>
        <w:tblW w:w="9058" w:type="dxa"/>
        <w:jc w:val="center"/>
        <w:tblLayout w:type="fixed"/>
        <w:tblLook w:val="0000"/>
      </w:tblPr>
      <w:tblGrid>
        <w:gridCol w:w="1492"/>
        <w:gridCol w:w="1261"/>
        <w:gridCol w:w="1261"/>
        <w:gridCol w:w="1261"/>
        <w:gridCol w:w="1261"/>
        <w:gridCol w:w="1261"/>
        <w:gridCol w:w="1261"/>
      </w:tblGrid>
      <w:tr w:rsidR="00C344A2" w:rsidRPr="001D77EC" w:rsidTr="00C344A2">
        <w:trPr>
          <w:trHeight w:val="225"/>
          <w:jc w:val="center"/>
        </w:trPr>
        <w:tc>
          <w:tcPr>
            <w:tcW w:w="1492" w:type="dxa"/>
            <w:vMerge w:val="restart"/>
          </w:tcPr>
          <w:p w:rsidR="00C344A2" w:rsidRPr="001D77EC" w:rsidRDefault="00C344A2">
            <w:pPr>
              <w:autoSpaceDE w:val="0"/>
              <w:autoSpaceDN w:val="0"/>
              <w:adjustRightInd w:val="0"/>
              <w:jc w:val="center"/>
              <w:rPr>
                <w:color w:val="000000"/>
                <w:sz w:val="22"/>
                <w:szCs w:val="22"/>
                <w:lang w:eastAsia="hr-HR"/>
              </w:rPr>
            </w:pPr>
            <w:r>
              <w:rPr>
                <w:color w:val="000000"/>
                <w:sz w:val="22"/>
                <w:szCs w:val="22"/>
                <w:lang w:eastAsia="hr-HR"/>
              </w:rPr>
              <w:t>Descriptive statistics</w:t>
            </w:r>
          </w:p>
        </w:tc>
        <w:tc>
          <w:tcPr>
            <w:tcW w:w="2522" w:type="dxa"/>
            <w:gridSpan w:val="2"/>
          </w:tcPr>
          <w:p w:rsidR="00C344A2" w:rsidRPr="001D77EC" w:rsidRDefault="00C344A2" w:rsidP="001D77EC">
            <w:pPr>
              <w:autoSpaceDE w:val="0"/>
              <w:autoSpaceDN w:val="0"/>
              <w:adjustRightInd w:val="0"/>
              <w:jc w:val="center"/>
              <w:rPr>
                <w:color w:val="000000"/>
                <w:sz w:val="22"/>
                <w:szCs w:val="22"/>
                <w:lang w:eastAsia="hr-HR"/>
              </w:rPr>
            </w:pPr>
            <w:r w:rsidRPr="001D77EC">
              <w:rPr>
                <w:color w:val="000000"/>
                <w:sz w:val="22"/>
                <w:szCs w:val="22"/>
                <w:lang w:eastAsia="hr-HR"/>
              </w:rPr>
              <w:t>Expected return</w:t>
            </w:r>
          </w:p>
        </w:tc>
        <w:tc>
          <w:tcPr>
            <w:tcW w:w="2522" w:type="dxa"/>
            <w:gridSpan w:val="2"/>
          </w:tcPr>
          <w:p w:rsidR="00C344A2" w:rsidRPr="001D77EC" w:rsidRDefault="00C344A2" w:rsidP="001D77EC">
            <w:pPr>
              <w:autoSpaceDE w:val="0"/>
              <w:autoSpaceDN w:val="0"/>
              <w:adjustRightInd w:val="0"/>
              <w:jc w:val="center"/>
              <w:rPr>
                <w:color w:val="000000"/>
                <w:sz w:val="22"/>
                <w:szCs w:val="22"/>
                <w:lang w:eastAsia="hr-HR"/>
              </w:rPr>
            </w:pPr>
            <w:r>
              <w:rPr>
                <w:color w:val="000000"/>
                <w:sz w:val="22"/>
                <w:szCs w:val="22"/>
                <w:lang w:eastAsia="hr-HR"/>
              </w:rPr>
              <w:t>Portfolio risk</w:t>
            </w:r>
          </w:p>
        </w:tc>
        <w:tc>
          <w:tcPr>
            <w:tcW w:w="2522" w:type="dxa"/>
            <w:gridSpan w:val="2"/>
          </w:tcPr>
          <w:p w:rsidR="00C344A2" w:rsidRPr="001D77EC" w:rsidRDefault="00C344A2">
            <w:pPr>
              <w:autoSpaceDE w:val="0"/>
              <w:autoSpaceDN w:val="0"/>
              <w:adjustRightInd w:val="0"/>
              <w:jc w:val="center"/>
              <w:rPr>
                <w:color w:val="000000"/>
                <w:sz w:val="22"/>
                <w:szCs w:val="22"/>
                <w:lang w:eastAsia="hr-HR"/>
              </w:rPr>
            </w:pPr>
            <w:r>
              <w:rPr>
                <w:color w:val="000000"/>
                <w:sz w:val="22"/>
                <w:szCs w:val="22"/>
                <w:lang w:eastAsia="hr-HR"/>
              </w:rPr>
              <w:t>Standardized return</w:t>
            </w:r>
          </w:p>
        </w:tc>
      </w:tr>
      <w:tr w:rsidR="00C344A2" w:rsidRPr="001D77EC" w:rsidTr="00C344A2">
        <w:trPr>
          <w:trHeight w:val="213"/>
          <w:jc w:val="center"/>
        </w:trPr>
        <w:tc>
          <w:tcPr>
            <w:tcW w:w="1492" w:type="dxa"/>
            <w:vMerge/>
          </w:tcPr>
          <w:p w:rsidR="00C344A2" w:rsidRPr="001D77EC" w:rsidRDefault="00C344A2">
            <w:pPr>
              <w:autoSpaceDE w:val="0"/>
              <w:autoSpaceDN w:val="0"/>
              <w:adjustRightInd w:val="0"/>
              <w:jc w:val="center"/>
              <w:rPr>
                <w:color w:val="000000"/>
                <w:sz w:val="22"/>
                <w:szCs w:val="22"/>
                <w:lang w:eastAsia="hr-HR"/>
              </w:rPr>
            </w:pPr>
          </w:p>
        </w:tc>
        <w:tc>
          <w:tcPr>
            <w:tcW w:w="1261" w:type="dxa"/>
          </w:tcPr>
          <w:p w:rsidR="00C344A2" w:rsidRPr="001D77EC" w:rsidRDefault="00C344A2">
            <w:pPr>
              <w:autoSpaceDE w:val="0"/>
              <w:autoSpaceDN w:val="0"/>
              <w:adjustRightInd w:val="0"/>
              <w:jc w:val="center"/>
              <w:rPr>
                <w:color w:val="000000"/>
                <w:sz w:val="22"/>
                <w:szCs w:val="22"/>
                <w:lang w:eastAsia="hr-HR"/>
              </w:rPr>
            </w:pPr>
            <w:r>
              <w:rPr>
                <w:color w:val="000000"/>
                <w:sz w:val="22"/>
                <w:szCs w:val="22"/>
                <w:lang w:eastAsia="hr-HR"/>
              </w:rPr>
              <w:t>No regime</w:t>
            </w:r>
          </w:p>
        </w:tc>
        <w:tc>
          <w:tcPr>
            <w:tcW w:w="1261" w:type="dxa"/>
          </w:tcPr>
          <w:p w:rsidR="00C344A2" w:rsidRPr="001D77EC" w:rsidRDefault="00C344A2" w:rsidP="001D77EC">
            <w:pPr>
              <w:autoSpaceDE w:val="0"/>
              <w:autoSpaceDN w:val="0"/>
              <w:adjustRightInd w:val="0"/>
              <w:jc w:val="center"/>
              <w:rPr>
                <w:color w:val="000000"/>
                <w:sz w:val="22"/>
                <w:szCs w:val="22"/>
                <w:lang w:eastAsia="hr-HR"/>
              </w:rPr>
            </w:pPr>
            <w:r>
              <w:rPr>
                <w:color w:val="000000"/>
                <w:sz w:val="22"/>
                <w:szCs w:val="22"/>
                <w:lang w:eastAsia="hr-HR"/>
              </w:rPr>
              <w:t>2 Regimes</w:t>
            </w:r>
          </w:p>
        </w:tc>
        <w:tc>
          <w:tcPr>
            <w:tcW w:w="1261" w:type="dxa"/>
          </w:tcPr>
          <w:p w:rsidR="00C344A2" w:rsidRPr="001D77EC" w:rsidRDefault="00C344A2" w:rsidP="00DC24E0">
            <w:pPr>
              <w:autoSpaceDE w:val="0"/>
              <w:autoSpaceDN w:val="0"/>
              <w:adjustRightInd w:val="0"/>
              <w:jc w:val="center"/>
              <w:rPr>
                <w:color w:val="000000"/>
                <w:sz w:val="22"/>
                <w:szCs w:val="22"/>
                <w:lang w:eastAsia="hr-HR"/>
              </w:rPr>
            </w:pPr>
            <w:r>
              <w:rPr>
                <w:color w:val="000000"/>
                <w:sz w:val="22"/>
                <w:szCs w:val="22"/>
                <w:lang w:eastAsia="hr-HR"/>
              </w:rPr>
              <w:t>No regime</w:t>
            </w:r>
          </w:p>
        </w:tc>
        <w:tc>
          <w:tcPr>
            <w:tcW w:w="1261" w:type="dxa"/>
          </w:tcPr>
          <w:p w:rsidR="00C344A2" w:rsidRPr="001D77EC" w:rsidRDefault="00C344A2" w:rsidP="00DC24E0">
            <w:pPr>
              <w:autoSpaceDE w:val="0"/>
              <w:autoSpaceDN w:val="0"/>
              <w:adjustRightInd w:val="0"/>
              <w:jc w:val="center"/>
              <w:rPr>
                <w:color w:val="000000"/>
                <w:sz w:val="22"/>
                <w:szCs w:val="22"/>
                <w:lang w:eastAsia="hr-HR"/>
              </w:rPr>
            </w:pPr>
            <w:r>
              <w:rPr>
                <w:color w:val="000000"/>
                <w:sz w:val="22"/>
                <w:szCs w:val="22"/>
                <w:lang w:eastAsia="hr-HR"/>
              </w:rPr>
              <w:t>2 Regimes</w:t>
            </w:r>
          </w:p>
        </w:tc>
        <w:tc>
          <w:tcPr>
            <w:tcW w:w="1261" w:type="dxa"/>
          </w:tcPr>
          <w:p w:rsidR="00C344A2" w:rsidRPr="001D77EC" w:rsidRDefault="00C344A2" w:rsidP="00DC24E0">
            <w:pPr>
              <w:autoSpaceDE w:val="0"/>
              <w:autoSpaceDN w:val="0"/>
              <w:adjustRightInd w:val="0"/>
              <w:jc w:val="center"/>
              <w:rPr>
                <w:color w:val="000000"/>
                <w:sz w:val="22"/>
                <w:szCs w:val="22"/>
                <w:lang w:eastAsia="hr-HR"/>
              </w:rPr>
            </w:pPr>
            <w:r>
              <w:rPr>
                <w:color w:val="000000"/>
                <w:sz w:val="22"/>
                <w:szCs w:val="22"/>
                <w:lang w:eastAsia="hr-HR"/>
              </w:rPr>
              <w:t>No regime</w:t>
            </w:r>
          </w:p>
        </w:tc>
        <w:tc>
          <w:tcPr>
            <w:tcW w:w="1261" w:type="dxa"/>
          </w:tcPr>
          <w:p w:rsidR="00C344A2" w:rsidRPr="001D77EC" w:rsidRDefault="00C344A2" w:rsidP="00DC24E0">
            <w:pPr>
              <w:autoSpaceDE w:val="0"/>
              <w:autoSpaceDN w:val="0"/>
              <w:adjustRightInd w:val="0"/>
              <w:jc w:val="center"/>
              <w:rPr>
                <w:color w:val="000000"/>
                <w:sz w:val="22"/>
                <w:szCs w:val="22"/>
                <w:lang w:eastAsia="hr-HR"/>
              </w:rPr>
            </w:pPr>
            <w:r>
              <w:rPr>
                <w:color w:val="000000"/>
                <w:sz w:val="22"/>
                <w:szCs w:val="22"/>
                <w:lang w:eastAsia="hr-HR"/>
              </w:rPr>
              <w:t>2 Regimes</w:t>
            </w:r>
          </w:p>
        </w:tc>
      </w:tr>
      <w:tr w:rsidR="001D77EC" w:rsidRPr="001D77EC" w:rsidTr="00C344A2">
        <w:trPr>
          <w:trHeight w:val="225"/>
          <w:jc w:val="center"/>
        </w:trPr>
        <w:tc>
          <w:tcPr>
            <w:tcW w:w="1492" w:type="dxa"/>
          </w:tcPr>
          <w:p w:rsidR="001D77EC" w:rsidRPr="001D77EC" w:rsidRDefault="001D77EC">
            <w:pPr>
              <w:autoSpaceDE w:val="0"/>
              <w:autoSpaceDN w:val="0"/>
              <w:adjustRightInd w:val="0"/>
              <w:rPr>
                <w:color w:val="000000"/>
                <w:sz w:val="22"/>
                <w:szCs w:val="22"/>
                <w:lang w:eastAsia="hr-HR"/>
              </w:rPr>
            </w:pPr>
            <w:r w:rsidRPr="001D77EC">
              <w:rPr>
                <w:color w:val="000000"/>
                <w:sz w:val="22"/>
                <w:szCs w:val="22"/>
                <w:lang w:eastAsia="hr-HR"/>
              </w:rPr>
              <w:t> Mean</w:t>
            </w:r>
          </w:p>
        </w:tc>
        <w:tc>
          <w:tcPr>
            <w:tcW w:w="1261" w:type="dxa"/>
          </w:tcPr>
          <w:p w:rsidR="001D77EC" w:rsidRPr="003658DE" w:rsidRDefault="001D77EC" w:rsidP="00C344A2">
            <w:pPr>
              <w:autoSpaceDE w:val="0"/>
              <w:autoSpaceDN w:val="0"/>
              <w:adjustRightInd w:val="0"/>
              <w:jc w:val="center"/>
              <w:rPr>
                <w:b/>
                <w:color w:val="000000"/>
                <w:sz w:val="22"/>
                <w:szCs w:val="22"/>
                <w:lang w:eastAsia="hr-HR"/>
              </w:rPr>
            </w:pPr>
            <w:r w:rsidRPr="003658DE">
              <w:rPr>
                <w:b/>
                <w:color w:val="000000"/>
                <w:sz w:val="22"/>
                <w:szCs w:val="22"/>
                <w:lang w:eastAsia="hr-HR"/>
              </w:rPr>
              <w:t>-2.22</w:t>
            </w:r>
            <w:r w:rsidR="00C344A2" w:rsidRPr="003658DE">
              <w:rPr>
                <w:rFonts w:ascii="Calibri" w:hAnsi="Calibri"/>
                <w:b/>
                <w:color w:val="000000"/>
                <w:sz w:val="22"/>
                <w:szCs w:val="22"/>
                <w:lang w:eastAsia="hr-HR"/>
              </w:rPr>
              <w:t>∙</w:t>
            </w:r>
            <w:r w:rsidR="00C344A2" w:rsidRPr="003658DE">
              <w:rPr>
                <w:b/>
                <w:color w:val="000000"/>
                <w:sz w:val="22"/>
                <w:szCs w:val="22"/>
                <w:lang w:eastAsia="hr-HR"/>
              </w:rPr>
              <w:t>10</w:t>
            </w:r>
            <w:r w:rsidR="00C344A2" w:rsidRPr="003658DE">
              <w:rPr>
                <w:b/>
                <w:color w:val="000000"/>
                <w:sz w:val="22"/>
                <w:szCs w:val="22"/>
                <w:vertAlign w:val="superscript"/>
                <w:lang w:eastAsia="hr-HR"/>
              </w:rPr>
              <w:t>-</w:t>
            </w:r>
            <w:r w:rsidRPr="003658DE">
              <w:rPr>
                <w:b/>
                <w:color w:val="000000"/>
                <w:sz w:val="22"/>
                <w:szCs w:val="22"/>
                <w:vertAlign w:val="superscript"/>
                <w:lang w:eastAsia="hr-HR"/>
              </w:rPr>
              <w:t>6</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-7.33</w:t>
            </w:r>
            <w:r w:rsidR="00C344A2">
              <w:rPr>
                <w:rFonts w:ascii="Calibri" w:hAnsi="Calibri"/>
                <w:color w:val="000000"/>
                <w:sz w:val="22"/>
                <w:szCs w:val="22"/>
                <w:lang w:eastAsia="hr-HR"/>
              </w:rPr>
              <w:t>∙</w:t>
            </w:r>
            <w:r w:rsidR="00C344A2">
              <w:rPr>
                <w:color w:val="000000"/>
                <w:sz w:val="22"/>
                <w:szCs w:val="22"/>
                <w:lang w:eastAsia="hr-HR"/>
              </w:rPr>
              <w:t>10</w:t>
            </w:r>
            <w:r w:rsidR="00C344A2" w:rsidRPr="00C344A2">
              <w:rPr>
                <w:color w:val="000000"/>
                <w:sz w:val="22"/>
                <w:szCs w:val="22"/>
                <w:vertAlign w:val="superscript"/>
                <w:lang w:eastAsia="hr-HR"/>
              </w:rPr>
              <w:t>-6</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 4.14</w:t>
            </w:r>
            <w:r w:rsidR="00C344A2">
              <w:rPr>
                <w:rFonts w:ascii="Calibri" w:hAnsi="Calibri"/>
                <w:color w:val="000000"/>
                <w:sz w:val="22"/>
                <w:szCs w:val="22"/>
                <w:lang w:eastAsia="hr-HR"/>
              </w:rPr>
              <w:t>∙</w:t>
            </w:r>
            <w:r w:rsidR="00C344A2">
              <w:rPr>
                <w:color w:val="000000"/>
                <w:sz w:val="22"/>
                <w:szCs w:val="22"/>
                <w:lang w:eastAsia="hr-HR"/>
              </w:rPr>
              <w:t>10</w:t>
            </w:r>
            <w:r w:rsidR="00C344A2" w:rsidRPr="00C344A2">
              <w:rPr>
                <w:color w:val="000000"/>
                <w:sz w:val="22"/>
                <w:szCs w:val="22"/>
                <w:vertAlign w:val="superscript"/>
                <w:lang w:eastAsia="hr-HR"/>
              </w:rPr>
              <w:t>-6</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1D77EC">
              <w:rPr>
                <w:color w:val="000000"/>
                <w:sz w:val="22"/>
                <w:szCs w:val="22"/>
                <w:lang w:eastAsia="hr-HR"/>
              </w:rPr>
              <w:t> </w:t>
            </w:r>
            <w:r w:rsidRPr="003658DE">
              <w:rPr>
                <w:b/>
                <w:color w:val="000000"/>
                <w:sz w:val="22"/>
                <w:szCs w:val="22"/>
                <w:lang w:eastAsia="hr-HR"/>
              </w:rPr>
              <w:t>3.52</w:t>
            </w:r>
            <w:r w:rsidR="00BD251D" w:rsidRPr="00BD251D">
              <w:rPr>
                <w:rFonts w:ascii="Calibri" w:hAnsi="Calibri"/>
                <w:b/>
                <w:color w:val="000000"/>
                <w:sz w:val="22"/>
                <w:szCs w:val="22"/>
                <w:lang w:eastAsia="hr-HR"/>
              </w:rPr>
              <w:t>∙</w:t>
            </w:r>
            <w:r w:rsidR="00BD251D" w:rsidRPr="00BD251D">
              <w:rPr>
                <w:b/>
                <w:color w:val="000000"/>
                <w:sz w:val="22"/>
                <w:szCs w:val="22"/>
                <w:lang w:eastAsia="hr-HR"/>
              </w:rPr>
              <w:t>10</w:t>
            </w:r>
            <w:r w:rsidR="00BD251D" w:rsidRPr="00BD251D">
              <w:rPr>
                <w:b/>
                <w:color w:val="000000"/>
                <w:sz w:val="22"/>
                <w:szCs w:val="22"/>
                <w:vertAlign w:val="superscript"/>
                <w:lang w:eastAsia="hr-HR"/>
              </w:rPr>
              <w:t>-6</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-13.18961</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1D77EC">
              <w:rPr>
                <w:color w:val="000000"/>
                <w:sz w:val="22"/>
                <w:szCs w:val="22"/>
                <w:lang w:eastAsia="hr-HR"/>
              </w:rPr>
              <w:t> </w:t>
            </w:r>
            <w:r w:rsidRPr="003658DE">
              <w:rPr>
                <w:b/>
                <w:color w:val="000000"/>
                <w:sz w:val="22"/>
                <w:szCs w:val="22"/>
                <w:lang w:eastAsia="hr-HR"/>
              </w:rPr>
              <w:t>17.94320</w:t>
            </w:r>
          </w:p>
        </w:tc>
      </w:tr>
      <w:tr w:rsidR="001D77EC" w:rsidRPr="001D77EC" w:rsidTr="00C344A2">
        <w:trPr>
          <w:trHeight w:val="225"/>
          <w:jc w:val="center"/>
        </w:trPr>
        <w:tc>
          <w:tcPr>
            <w:tcW w:w="1492" w:type="dxa"/>
          </w:tcPr>
          <w:p w:rsidR="001D77EC" w:rsidRPr="001D77EC" w:rsidRDefault="001D77EC">
            <w:pPr>
              <w:autoSpaceDE w:val="0"/>
              <w:autoSpaceDN w:val="0"/>
              <w:adjustRightInd w:val="0"/>
              <w:rPr>
                <w:color w:val="000000"/>
                <w:sz w:val="22"/>
                <w:szCs w:val="22"/>
                <w:lang w:eastAsia="hr-HR"/>
              </w:rPr>
            </w:pPr>
            <w:r w:rsidRPr="001D77EC">
              <w:rPr>
                <w:color w:val="000000"/>
                <w:sz w:val="22"/>
                <w:szCs w:val="22"/>
                <w:lang w:eastAsia="hr-HR"/>
              </w:rPr>
              <w:t> Median</w:t>
            </w:r>
          </w:p>
        </w:tc>
        <w:tc>
          <w:tcPr>
            <w:tcW w:w="1261" w:type="dxa"/>
          </w:tcPr>
          <w:p w:rsidR="001D77EC" w:rsidRPr="003658DE" w:rsidRDefault="001D77EC" w:rsidP="00C344A2">
            <w:pPr>
              <w:autoSpaceDE w:val="0"/>
              <w:autoSpaceDN w:val="0"/>
              <w:adjustRightInd w:val="0"/>
              <w:jc w:val="center"/>
              <w:rPr>
                <w:b/>
                <w:color w:val="000000"/>
                <w:sz w:val="22"/>
                <w:szCs w:val="22"/>
                <w:lang w:eastAsia="hr-HR"/>
              </w:rPr>
            </w:pPr>
            <w:r w:rsidRPr="001D77EC">
              <w:rPr>
                <w:color w:val="000000"/>
                <w:sz w:val="22"/>
                <w:szCs w:val="22"/>
                <w:lang w:eastAsia="hr-HR"/>
              </w:rPr>
              <w:t> </w:t>
            </w:r>
            <w:r w:rsidRPr="003658DE">
              <w:rPr>
                <w:b/>
                <w:color w:val="000000"/>
                <w:sz w:val="22"/>
                <w:szCs w:val="22"/>
                <w:lang w:eastAsia="hr-HR"/>
              </w:rPr>
              <w:t>1.18</w:t>
            </w:r>
            <w:r w:rsidR="00C344A2" w:rsidRPr="003658DE">
              <w:rPr>
                <w:rFonts w:ascii="Calibri" w:hAnsi="Calibri"/>
                <w:b/>
                <w:color w:val="000000"/>
                <w:sz w:val="22"/>
                <w:szCs w:val="22"/>
                <w:lang w:eastAsia="hr-HR"/>
              </w:rPr>
              <w:t>∙</w:t>
            </w:r>
            <w:r w:rsidR="00C344A2" w:rsidRPr="003658DE">
              <w:rPr>
                <w:b/>
                <w:color w:val="000000"/>
                <w:sz w:val="22"/>
                <w:szCs w:val="22"/>
                <w:lang w:eastAsia="hr-HR"/>
              </w:rPr>
              <w:t>10</w:t>
            </w:r>
            <w:r w:rsidR="00C344A2" w:rsidRPr="003658DE">
              <w:rPr>
                <w:b/>
                <w:color w:val="000000"/>
                <w:sz w:val="22"/>
                <w:szCs w:val="22"/>
                <w:vertAlign w:val="superscript"/>
                <w:lang w:eastAsia="hr-HR"/>
              </w:rPr>
              <w:t>-5</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 1.09</w:t>
            </w:r>
            <w:r w:rsidR="00C344A2">
              <w:rPr>
                <w:rFonts w:ascii="Calibri" w:hAnsi="Calibri"/>
                <w:color w:val="000000"/>
                <w:sz w:val="22"/>
                <w:szCs w:val="22"/>
                <w:lang w:eastAsia="hr-HR"/>
              </w:rPr>
              <w:t>∙</w:t>
            </w:r>
            <w:r w:rsidR="00C344A2">
              <w:rPr>
                <w:color w:val="000000"/>
                <w:sz w:val="22"/>
                <w:szCs w:val="22"/>
                <w:lang w:eastAsia="hr-HR"/>
              </w:rPr>
              <w:t>10</w:t>
            </w:r>
            <w:r w:rsidR="00C344A2" w:rsidRPr="00C344A2">
              <w:rPr>
                <w:color w:val="000000"/>
                <w:sz w:val="22"/>
                <w:szCs w:val="22"/>
                <w:vertAlign w:val="superscript"/>
                <w:lang w:eastAsia="hr-HR"/>
              </w:rPr>
              <w:t>-</w:t>
            </w:r>
            <w:r w:rsidR="00C344A2">
              <w:rPr>
                <w:color w:val="000000"/>
                <w:sz w:val="22"/>
                <w:szCs w:val="22"/>
                <w:vertAlign w:val="superscript"/>
                <w:lang w:eastAsia="hr-HR"/>
              </w:rPr>
              <w:t>5</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 2.23</w:t>
            </w:r>
            <w:r w:rsidR="00C344A2">
              <w:rPr>
                <w:rFonts w:ascii="Calibri" w:hAnsi="Calibri"/>
                <w:color w:val="000000"/>
                <w:sz w:val="22"/>
                <w:szCs w:val="22"/>
                <w:lang w:eastAsia="hr-HR"/>
              </w:rPr>
              <w:t>∙</w:t>
            </w:r>
            <w:r w:rsidR="00C344A2">
              <w:rPr>
                <w:color w:val="000000"/>
                <w:sz w:val="22"/>
                <w:szCs w:val="22"/>
                <w:lang w:eastAsia="hr-HR"/>
              </w:rPr>
              <w:t>10</w:t>
            </w:r>
            <w:r w:rsidR="00C344A2" w:rsidRPr="00C344A2">
              <w:rPr>
                <w:color w:val="000000"/>
                <w:sz w:val="22"/>
                <w:szCs w:val="22"/>
                <w:vertAlign w:val="superscript"/>
                <w:lang w:eastAsia="hr-HR"/>
              </w:rPr>
              <w:t>-6</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3658DE">
              <w:rPr>
                <w:b/>
                <w:color w:val="000000"/>
                <w:sz w:val="22"/>
                <w:szCs w:val="22"/>
                <w:lang w:eastAsia="hr-HR"/>
              </w:rPr>
              <w:t> 1.07</w:t>
            </w:r>
            <w:r w:rsidR="00BD251D" w:rsidRPr="00BD251D">
              <w:rPr>
                <w:rFonts w:ascii="Calibri" w:hAnsi="Calibri"/>
                <w:b/>
                <w:color w:val="000000"/>
                <w:sz w:val="22"/>
                <w:szCs w:val="22"/>
                <w:lang w:eastAsia="hr-HR"/>
              </w:rPr>
              <w:t>∙</w:t>
            </w:r>
            <w:r w:rsidR="00BD251D" w:rsidRPr="00BD251D">
              <w:rPr>
                <w:b/>
                <w:color w:val="000000"/>
                <w:sz w:val="22"/>
                <w:szCs w:val="22"/>
                <w:lang w:eastAsia="hr-HR"/>
              </w:rPr>
              <w:t>10</w:t>
            </w:r>
            <w:r w:rsidR="00BD251D" w:rsidRPr="00BD251D">
              <w:rPr>
                <w:b/>
                <w:color w:val="000000"/>
                <w:sz w:val="22"/>
                <w:szCs w:val="22"/>
                <w:vertAlign w:val="superscript"/>
                <w:lang w:eastAsia="hr-HR"/>
              </w:rPr>
              <w:t>-6</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 4.418038</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1D77EC">
              <w:rPr>
                <w:color w:val="000000"/>
                <w:sz w:val="22"/>
                <w:szCs w:val="22"/>
                <w:lang w:eastAsia="hr-HR"/>
              </w:rPr>
              <w:t> </w:t>
            </w:r>
            <w:r w:rsidRPr="003658DE">
              <w:rPr>
                <w:b/>
                <w:color w:val="000000"/>
                <w:sz w:val="22"/>
                <w:szCs w:val="22"/>
                <w:lang w:eastAsia="hr-HR"/>
              </w:rPr>
              <w:t>5.170249</w:t>
            </w:r>
          </w:p>
        </w:tc>
      </w:tr>
      <w:tr w:rsidR="001D77EC" w:rsidRPr="001D77EC" w:rsidTr="00C344A2">
        <w:trPr>
          <w:trHeight w:val="225"/>
          <w:jc w:val="center"/>
        </w:trPr>
        <w:tc>
          <w:tcPr>
            <w:tcW w:w="1492" w:type="dxa"/>
          </w:tcPr>
          <w:p w:rsidR="001D77EC" w:rsidRPr="001D77EC" w:rsidRDefault="001D77EC">
            <w:pPr>
              <w:autoSpaceDE w:val="0"/>
              <w:autoSpaceDN w:val="0"/>
              <w:adjustRightInd w:val="0"/>
              <w:rPr>
                <w:color w:val="000000"/>
                <w:sz w:val="22"/>
                <w:szCs w:val="22"/>
                <w:lang w:eastAsia="hr-HR"/>
              </w:rPr>
            </w:pPr>
            <w:r w:rsidRPr="001D77EC">
              <w:rPr>
                <w:color w:val="000000"/>
                <w:sz w:val="22"/>
                <w:szCs w:val="22"/>
                <w:lang w:eastAsia="hr-HR"/>
              </w:rPr>
              <w:t> Maximum</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3658DE">
              <w:rPr>
                <w:b/>
                <w:color w:val="000000"/>
                <w:sz w:val="22"/>
                <w:szCs w:val="22"/>
                <w:lang w:eastAsia="hr-HR"/>
              </w:rPr>
              <w:t> 0.017704</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 0.017317</w:t>
            </w:r>
          </w:p>
        </w:tc>
        <w:tc>
          <w:tcPr>
            <w:tcW w:w="1261" w:type="dxa"/>
          </w:tcPr>
          <w:p w:rsidR="001D77EC" w:rsidRPr="001D77EC" w:rsidRDefault="001D77EC" w:rsidP="00C344A2">
            <w:pPr>
              <w:autoSpaceDE w:val="0"/>
              <w:autoSpaceDN w:val="0"/>
              <w:adjustRightInd w:val="0"/>
              <w:jc w:val="center"/>
              <w:rPr>
                <w:color w:val="000000"/>
                <w:sz w:val="22"/>
                <w:szCs w:val="22"/>
                <w:lang w:eastAsia="hr-HR"/>
              </w:rPr>
            </w:pPr>
            <w:r w:rsidRPr="001D77EC">
              <w:rPr>
                <w:color w:val="000000"/>
                <w:sz w:val="22"/>
                <w:szCs w:val="22"/>
                <w:lang w:eastAsia="hr-HR"/>
              </w:rPr>
              <w:t> 5.92</w:t>
            </w:r>
            <w:r w:rsidR="00C344A2">
              <w:rPr>
                <w:rFonts w:ascii="Calibri" w:hAnsi="Calibri"/>
                <w:color w:val="000000"/>
                <w:sz w:val="22"/>
                <w:szCs w:val="22"/>
                <w:lang w:eastAsia="hr-HR"/>
              </w:rPr>
              <w:t>∙</w:t>
            </w:r>
            <w:r w:rsidR="00C344A2">
              <w:rPr>
                <w:color w:val="000000"/>
                <w:sz w:val="22"/>
                <w:szCs w:val="22"/>
                <w:lang w:eastAsia="hr-HR"/>
              </w:rPr>
              <w:t>10</w:t>
            </w:r>
            <w:r w:rsidR="00C344A2" w:rsidRPr="00C344A2">
              <w:rPr>
                <w:color w:val="000000"/>
                <w:sz w:val="22"/>
                <w:szCs w:val="22"/>
                <w:vertAlign w:val="superscript"/>
                <w:lang w:eastAsia="hr-HR"/>
              </w:rPr>
              <w:t>-</w:t>
            </w:r>
            <w:r w:rsidR="00C344A2">
              <w:rPr>
                <w:color w:val="000000"/>
                <w:sz w:val="22"/>
                <w:szCs w:val="22"/>
                <w:vertAlign w:val="superscript"/>
                <w:lang w:eastAsia="hr-HR"/>
              </w:rPr>
              <w:t>5</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1D77EC">
              <w:rPr>
                <w:color w:val="000000"/>
                <w:sz w:val="22"/>
                <w:szCs w:val="22"/>
                <w:lang w:eastAsia="hr-HR"/>
              </w:rPr>
              <w:t> </w:t>
            </w:r>
            <w:r w:rsidRPr="003658DE">
              <w:rPr>
                <w:b/>
                <w:color w:val="000000"/>
                <w:sz w:val="22"/>
                <w:szCs w:val="22"/>
                <w:lang w:eastAsia="hr-HR"/>
              </w:rPr>
              <w:t>0.000142</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 3577.093</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1D77EC">
              <w:rPr>
                <w:color w:val="000000"/>
                <w:sz w:val="22"/>
                <w:szCs w:val="22"/>
                <w:lang w:eastAsia="hr-HR"/>
              </w:rPr>
              <w:t> </w:t>
            </w:r>
            <w:r w:rsidRPr="003658DE">
              <w:rPr>
                <w:b/>
                <w:color w:val="000000"/>
                <w:sz w:val="22"/>
                <w:szCs w:val="22"/>
                <w:lang w:eastAsia="hr-HR"/>
              </w:rPr>
              <w:t>2992.546</w:t>
            </w:r>
          </w:p>
        </w:tc>
      </w:tr>
      <w:tr w:rsidR="001D77EC" w:rsidRPr="001D77EC" w:rsidTr="00C344A2">
        <w:trPr>
          <w:trHeight w:val="225"/>
          <w:jc w:val="center"/>
        </w:trPr>
        <w:tc>
          <w:tcPr>
            <w:tcW w:w="1492" w:type="dxa"/>
          </w:tcPr>
          <w:p w:rsidR="001D77EC" w:rsidRPr="001D77EC" w:rsidRDefault="001D77EC">
            <w:pPr>
              <w:autoSpaceDE w:val="0"/>
              <w:autoSpaceDN w:val="0"/>
              <w:adjustRightInd w:val="0"/>
              <w:rPr>
                <w:color w:val="000000"/>
                <w:sz w:val="22"/>
                <w:szCs w:val="22"/>
                <w:lang w:eastAsia="hr-HR"/>
              </w:rPr>
            </w:pPr>
            <w:r w:rsidRPr="001D77EC">
              <w:rPr>
                <w:color w:val="000000"/>
                <w:sz w:val="22"/>
                <w:szCs w:val="22"/>
                <w:lang w:eastAsia="hr-HR"/>
              </w:rPr>
              <w:t> Minimum</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3658DE">
              <w:rPr>
                <w:b/>
                <w:color w:val="000000"/>
                <w:sz w:val="22"/>
                <w:szCs w:val="22"/>
                <w:lang w:eastAsia="hr-HR"/>
              </w:rPr>
              <w:t>-0.013664</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-0.014355</w:t>
            </w:r>
          </w:p>
        </w:tc>
        <w:tc>
          <w:tcPr>
            <w:tcW w:w="1261" w:type="dxa"/>
          </w:tcPr>
          <w:p w:rsidR="001D77EC" w:rsidRPr="001D77EC" w:rsidRDefault="001D77EC" w:rsidP="00C344A2">
            <w:pPr>
              <w:autoSpaceDE w:val="0"/>
              <w:autoSpaceDN w:val="0"/>
              <w:adjustRightInd w:val="0"/>
              <w:jc w:val="center"/>
              <w:rPr>
                <w:color w:val="000000"/>
                <w:sz w:val="22"/>
                <w:szCs w:val="22"/>
                <w:lang w:eastAsia="hr-HR"/>
              </w:rPr>
            </w:pPr>
            <w:r w:rsidRPr="001D77EC">
              <w:rPr>
                <w:color w:val="000000"/>
                <w:sz w:val="22"/>
                <w:szCs w:val="22"/>
                <w:lang w:eastAsia="hr-HR"/>
              </w:rPr>
              <w:t> 7.44</w:t>
            </w:r>
            <w:r w:rsidR="00C344A2">
              <w:rPr>
                <w:rFonts w:ascii="Calibri" w:hAnsi="Calibri"/>
                <w:color w:val="000000"/>
                <w:sz w:val="22"/>
                <w:szCs w:val="22"/>
                <w:lang w:eastAsia="hr-HR"/>
              </w:rPr>
              <w:t>∙</w:t>
            </w:r>
            <w:r w:rsidR="00C344A2">
              <w:rPr>
                <w:color w:val="000000"/>
                <w:sz w:val="22"/>
                <w:szCs w:val="22"/>
                <w:lang w:eastAsia="hr-HR"/>
              </w:rPr>
              <w:t>10</w:t>
            </w:r>
            <w:r w:rsidR="00C344A2" w:rsidRPr="00C344A2">
              <w:rPr>
                <w:color w:val="000000"/>
                <w:sz w:val="22"/>
                <w:szCs w:val="22"/>
                <w:vertAlign w:val="superscript"/>
                <w:lang w:eastAsia="hr-HR"/>
              </w:rPr>
              <w:t>-</w:t>
            </w:r>
            <w:r w:rsidR="00C344A2">
              <w:rPr>
                <w:color w:val="000000"/>
                <w:sz w:val="22"/>
                <w:szCs w:val="22"/>
                <w:vertAlign w:val="superscript"/>
                <w:lang w:eastAsia="hr-HR"/>
              </w:rPr>
              <w:t>7</w:t>
            </w:r>
          </w:p>
        </w:tc>
        <w:tc>
          <w:tcPr>
            <w:tcW w:w="1261" w:type="dxa"/>
          </w:tcPr>
          <w:p w:rsidR="001D77EC" w:rsidRPr="003658DE" w:rsidRDefault="003658DE" w:rsidP="003658DE">
            <w:pPr>
              <w:autoSpaceDE w:val="0"/>
              <w:autoSpaceDN w:val="0"/>
              <w:adjustRightInd w:val="0"/>
              <w:jc w:val="center"/>
              <w:rPr>
                <w:b/>
                <w:color w:val="000000"/>
                <w:sz w:val="22"/>
                <w:szCs w:val="22"/>
                <w:lang w:eastAsia="hr-HR"/>
              </w:rPr>
            </w:pPr>
            <w:r>
              <w:rPr>
                <w:color w:val="000000"/>
                <w:sz w:val="22"/>
                <w:szCs w:val="22"/>
                <w:lang w:eastAsia="hr-HR"/>
              </w:rPr>
              <w:t> </w:t>
            </w:r>
            <w:r w:rsidRPr="003658DE">
              <w:rPr>
                <w:b/>
                <w:color w:val="000000"/>
                <w:sz w:val="22"/>
                <w:szCs w:val="22"/>
                <w:lang w:eastAsia="hr-HR"/>
              </w:rPr>
              <w:t>4.74</w:t>
            </w:r>
            <w:r w:rsidRPr="003658DE">
              <w:rPr>
                <w:rFonts w:ascii="Calibri" w:hAnsi="Calibri"/>
                <w:b/>
                <w:color w:val="000000"/>
                <w:sz w:val="22"/>
                <w:szCs w:val="22"/>
                <w:lang w:eastAsia="hr-HR"/>
              </w:rPr>
              <w:t>∙</w:t>
            </w:r>
            <w:r w:rsidRPr="003658DE">
              <w:rPr>
                <w:b/>
                <w:color w:val="000000"/>
                <w:sz w:val="22"/>
                <w:szCs w:val="22"/>
                <w:lang w:eastAsia="hr-HR"/>
              </w:rPr>
              <w:t>10</w:t>
            </w:r>
            <w:r w:rsidRPr="003658DE">
              <w:rPr>
                <w:b/>
                <w:color w:val="000000"/>
                <w:sz w:val="22"/>
                <w:szCs w:val="22"/>
                <w:vertAlign w:val="superscript"/>
                <w:lang w:eastAsia="hr-HR"/>
              </w:rPr>
              <w:t>-7</w:t>
            </w:r>
          </w:p>
        </w:tc>
        <w:tc>
          <w:tcPr>
            <w:tcW w:w="1261" w:type="dxa"/>
          </w:tcPr>
          <w:p w:rsidR="001D77EC" w:rsidRPr="001D77EC" w:rsidRDefault="001D77EC">
            <w:pPr>
              <w:autoSpaceDE w:val="0"/>
              <w:autoSpaceDN w:val="0"/>
              <w:adjustRightInd w:val="0"/>
              <w:jc w:val="center"/>
              <w:rPr>
                <w:color w:val="000000"/>
                <w:sz w:val="22"/>
                <w:szCs w:val="22"/>
                <w:lang w:eastAsia="hr-HR"/>
              </w:rPr>
            </w:pPr>
            <w:r w:rsidRPr="001D77EC">
              <w:rPr>
                <w:color w:val="000000"/>
                <w:sz w:val="22"/>
                <w:szCs w:val="22"/>
                <w:lang w:eastAsia="hr-HR"/>
              </w:rPr>
              <w:t>-4971.165</w:t>
            </w:r>
          </w:p>
        </w:tc>
        <w:tc>
          <w:tcPr>
            <w:tcW w:w="1261" w:type="dxa"/>
          </w:tcPr>
          <w:p w:rsidR="001D77EC" w:rsidRPr="003658DE" w:rsidRDefault="001D77EC">
            <w:pPr>
              <w:autoSpaceDE w:val="0"/>
              <w:autoSpaceDN w:val="0"/>
              <w:adjustRightInd w:val="0"/>
              <w:jc w:val="center"/>
              <w:rPr>
                <w:b/>
                <w:color w:val="000000"/>
                <w:sz w:val="22"/>
                <w:szCs w:val="22"/>
                <w:lang w:eastAsia="hr-HR"/>
              </w:rPr>
            </w:pPr>
            <w:r w:rsidRPr="003658DE">
              <w:rPr>
                <w:b/>
                <w:color w:val="000000"/>
                <w:sz w:val="22"/>
                <w:szCs w:val="22"/>
                <w:lang w:eastAsia="hr-HR"/>
              </w:rPr>
              <w:t>-2773.165</w:t>
            </w:r>
          </w:p>
        </w:tc>
      </w:tr>
    </w:tbl>
    <w:p w:rsidR="001F00E6" w:rsidRPr="001D77EC" w:rsidRDefault="001F00E6" w:rsidP="001F00E6">
      <w:pPr>
        <w:pStyle w:val="Tijeloteksta"/>
        <w:spacing w:before="120"/>
        <w:jc w:val="left"/>
        <w:rPr>
          <w:b w:val="0"/>
          <w:sz w:val="22"/>
          <w:szCs w:val="22"/>
          <w:lang w:val="en-US"/>
        </w:rPr>
      </w:pPr>
      <w:r w:rsidRPr="001D77EC">
        <w:rPr>
          <w:b w:val="0"/>
          <w:sz w:val="22"/>
          <w:szCs w:val="22"/>
          <w:lang w:val="en-US"/>
        </w:rPr>
        <w:t xml:space="preserve">Table </w:t>
      </w:r>
      <w:r>
        <w:rPr>
          <w:b w:val="0"/>
          <w:sz w:val="22"/>
          <w:szCs w:val="22"/>
          <w:lang w:val="en-US"/>
        </w:rPr>
        <w:t>4</w:t>
      </w:r>
      <w:r w:rsidRPr="001D77EC">
        <w:rPr>
          <w:b w:val="0"/>
          <w:sz w:val="22"/>
          <w:szCs w:val="22"/>
          <w:lang w:val="en-US"/>
        </w:rPr>
        <w:t xml:space="preserve">: </w:t>
      </w:r>
      <w:r>
        <w:rPr>
          <w:b w:val="0"/>
          <w:sz w:val="22"/>
          <w:szCs w:val="22"/>
          <w:lang w:val="en-US"/>
        </w:rPr>
        <w:t>Descriptive statistics for</w:t>
      </w:r>
      <w:r w:rsidRPr="001D77EC">
        <w:rPr>
          <w:b w:val="0"/>
          <w:sz w:val="22"/>
          <w:szCs w:val="22"/>
          <w:lang w:val="en-US"/>
        </w:rPr>
        <w:t xml:space="preserve"> multivariate model</w:t>
      </w:r>
      <w:r w:rsidR="006C2181">
        <w:rPr>
          <w:b w:val="0"/>
          <w:sz w:val="22"/>
          <w:szCs w:val="22"/>
          <w:lang w:val="en-US"/>
        </w:rPr>
        <w:t>s</w:t>
      </w:r>
      <w:r w:rsidRPr="001D77EC">
        <w:rPr>
          <w:b w:val="0"/>
          <w:sz w:val="22"/>
          <w:szCs w:val="22"/>
          <w:lang w:val="en-US"/>
        </w:rPr>
        <w:t xml:space="preserve"> without </w:t>
      </w:r>
      <w:r>
        <w:rPr>
          <w:b w:val="0"/>
          <w:sz w:val="22"/>
          <w:szCs w:val="22"/>
          <w:lang w:val="en-US"/>
        </w:rPr>
        <w:t xml:space="preserve">and with 2 </w:t>
      </w:r>
      <w:r w:rsidRPr="001D77EC">
        <w:rPr>
          <w:b w:val="0"/>
          <w:sz w:val="22"/>
          <w:szCs w:val="22"/>
          <w:lang w:val="en-US"/>
        </w:rPr>
        <w:t>regimes</w:t>
      </w:r>
    </w:p>
    <w:p w:rsidR="005E5220" w:rsidRPr="005E5220" w:rsidRDefault="005E5220" w:rsidP="00000157">
      <w:pPr>
        <w:pStyle w:val="Tijeloteksta"/>
        <w:ind w:left="770" w:hanging="784"/>
        <w:jc w:val="both"/>
        <w:rPr>
          <w:b w:val="0"/>
          <w:sz w:val="22"/>
          <w:szCs w:val="22"/>
          <w:lang w:val="en-US"/>
        </w:rPr>
      </w:pPr>
      <w:r w:rsidRPr="001D77EC">
        <w:rPr>
          <w:b w:val="0"/>
          <w:sz w:val="22"/>
          <w:szCs w:val="22"/>
          <w:lang w:val="en-US"/>
        </w:rPr>
        <w:t xml:space="preserve">Note: </w:t>
      </w:r>
      <w:r>
        <w:rPr>
          <w:b w:val="0"/>
          <w:sz w:val="22"/>
          <w:szCs w:val="22"/>
          <w:lang w:val="en-US"/>
        </w:rPr>
        <w:t>bolded numbers denote better portfolio</w:t>
      </w:r>
      <w:r w:rsidR="00DB70F1">
        <w:rPr>
          <w:b w:val="0"/>
          <w:sz w:val="22"/>
          <w:szCs w:val="22"/>
          <w:lang w:val="en-US"/>
        </w:rPr>
        <w:t xml:space="preserve"> performance.</w:t>
      </w:r>
    </w:p>
    <w:p w:rsidR="00625F1D" w:rsidRPr="00953E14" w:rsidRDefault="00625F1D" w:rsidP="00953E14">
      <w:pPr>
        <w:jc w:val="both"/>
        <w:rPr>
          <w:b/>
          <w:bCs/>
          <w:sz w:val="18"/>
        </w:rPr>
      </w:pPr>
    </w:p>
    <w:p w:rsidR="00625F1D" w:rsidRDefault="00625F1D" w:rsidP="00625F1D">
      <w:pPr>
        <w:autoSpaceDE w:val="0"/>
        <w:autoSpaceDN w:val="0"/>
        <w:adjustRightInd w:val="0"/>
        <w:jc w:val="both"/>
        <w:rPr>
          <w:lang w:eastAsia="hr-HR"/>
        </w:rPr>
      </w:pPr>
      <w:r>
        <w:rPr>
          <w:lang w:eastAsia="hr-HR"/>
        </w:rPr>
        <w:t>Based upon figure 1, expected returns and risks for both portfolios have been calculated for the observed period. It can be seen in table 4 that on average, no regime portfolio performs better in terms of expected return. This is not surprising due to the greater weight of stocks (see figure 1) in portfolio. However, investors are interested in risks as well, even more often than returns. The regime switching model is better in terms of risk minimization. Moreover, it is better when we observe both return and risk together (standardized return).</w:t>
      </w:r>
      <w:r w:rsidR="00A04E1E">
        <w:rPr>
          <w:lang w:eastAsia="hr-HR"/>
        </w:rPr>
        <w:t xml:space="preserve"> Finally, a simulation of portfolio rebalancing was made in the observed period. We invested into CROBEX and CROBIS according to figure 1 each trading day. Cumulative</w:t>
      </w:r>
      <w:r w:rsidR="00363104">
        <w:rPr>
          <w:lang w:eastAsia="hr-HR"/>
        </w:rPr>
        <w:t xml:space="preserve"> </w:t>
      </w:r>
      <w:r w:rsidR="00A04E1E">
        <w:rPr>
          <w:lang w:eastAsia="hr-HR"/>
        </w:rPr>
        <w:t>returns</w:t>
      </w:r>
      <w:r w:rsidR="00363104">
        <w:rPr>
          <w:rStyle w:val="Referencafusnote"/>
          <w:lang w:eastAsia="hr-HR"/>
        </w:rPr>
        <w:footnoteReference w:id="6"/>
      </w:r>
      <w:r w:rsidR="00A04E1E">
        <w:rPr>
          <w:lang w:eastAsia="hr-HR"/>
        </w:rPr>
        <w:t xml:space="preserve"> have been calculated and compared on figure 3. Majority of the time the regime switching model is superior to the non switching one. Even if the investor invested only in CROBEX or CROBIS (a passive strategy)</w:t>
      </w:r>
      <w:r w:rsidR="009F2BC1">
        <w:rPr>
          <w:lang w:eastAsia="hr-HR"/>
        </w:rPr>
        <w:t xml:space="preserve"> alone</w:t>
      </w:r>
      <w:r w:rsidR="00A04E1E">
        <w:rPr>
          <w:lang w:eastAsia="hr-HR"/>
        </w:rPr>
        <w:t>, he would still not achieve results as with the regime switching model</w:t>
      </w:r>
      <w:r w:rsidR="009F2BC1">
        <w:rPr>
          <w:lang w:eastAsia="hr-HR"/>
        </w:rPr>
        <w:t xml:space="preserve"> (results are not shown but are available upon request)</w:t>
      </w:r>
      <w:r w:rsidR="00A04E1E">
        <w:rPr>
          <w:lang w:eastAsia="hr-HR"/>
        </w:rPr>
        <w:t>.</w:t>
      </w:r>
    </w:p>
    <w:p w:rsidR="001F00E6" w:rsidRPr="00953E14" w:rsidRDefault="001F00E6" w:rsidP="00953E14">
      <w:pPr>
        <w:jc w:val="both"/>
        <w:rPr>
          <w:b/>
          <w:bCs/>
          <w:sz w:val="18"/>
        </w:rPr>
      </w:pPr>
    </w:p>
    <w:p w:rsidR="00E21609" w:rsidRPr="001D77EC" w:rsidRDefault="00524AB5" w:rsidP="00E21609">
      <w:pPr>
        <w:autoSpaceDE w:val="0"/>
        <w:autoSpaceDN w:val="0"/>
        <w:adjustRightInd w:val="0"/>
        <w:jc w:val="center"/>
        <w:rPr>
          <w:lang w:eastAsia="hr-HR"/>
        </w:rPr>
      </w:pPr>
      <w:r w:rsidRPr="00524AB5">
        <w:drawing>
          <wp:inline distT="0" distB="0" distL="0" distR="0">
            <wp:extent cx="3966354" cy="1975449"/>
            <wp:effectExtent l="19050" t="0" r="0"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0" cstate="print"/>
                    <a:srcRect/>
                    <a:stretch>
                      <a:fillRect/>
                    </a:stretch>
                  </pic:blipFill>
                  <pic:spPr bwMode="auto">
                    <a:xfrm>
                      <a:off x="0" y="0"/>
                      <a:ext cx="3969463" cy="1976997"/>
                    </a:xfrm>
                    <a:prstGeom prst="rect">
                      <a:avLst/>
                    </a:prstGeom>
                    <a:noFill/>
                    <a:ln w="9525">
                      <a:noFill/>
                      <a:miter lim="800000"/>
                      <a:headEnd/>
                      <a:tailEnd/>
                    </a:ln>
                  </pic:spPr>
                </pic:pic>
              </a:graphicData>
            </a:graphic>
          </wp:inline>
        </w:drawing>
      </w:r>
    </w:p>
    <w:p w:rsidR="00A04E1E" w:rsidRPr="001D77EC" w:rsidRDefault="00A04E1E" w:rsidP="00A04E1E">
      <w:pPr>
        <w:autoSpaceDE w:val="0"/>
        <w:autoSpaceDN w:val="0"/>
        <w:adjustRightInd w:val="0"/>
        <w:jc w:val="center"/>
        <w:rPr>
          <w:lang w:eastAsia="hr-HR"/>
        </w:rPr>
      </w:pPr>
      <w:r w:rsidRPr="001D77EC">
        <w:rPr>
          <w:sz w:val="22"/>
          <w:szCs w:val="22"/>
        </w:rPr>
        <w:t xml:space="preserve">Figure </w:t>
      </w:r>
      <w:r>
        <w:rPr>
          <w:sz w:val="22"/>
          <w:szCs w:val="22"/>
        </w:rPr>
        <w:t>3</w:t>
      </w:r>
      <w:r w:rsidRPr="001D77EC">
        <w:rPr>
          <w:sz w:val="22"/>
          <w:szCs w:val="22"/>
        </w:rPr>
        <w:t xml:space="preserve">: </w:t>
      </w:r>
      <w:r>
        <w:rPr>
          <w:sz w:val="22"/>
          <w:szCs w:val="22"/>
        </w:rPr>
        <w:t>Cumulative returns</w:t>
      </w:r>
      <w:r w:rsidRPr="001D77EC">
        <w:rPr>
          <w:sz w:val="22"/>
          <w:szCs w:val="22"/>
        </w:rPr>
        <w:t>, non switching model (</w:t>
      </w:r>
      <w:r>
        <w:rPr>
          <w:sz w:val="22"/>
          <w:szCs w:val="22"/>
        </w:rPr>
        <w:t>gray</w:t>
      </w:r>
      <w:r w:rsidRPr="001D77EC">
        <w:rPr>
          <w:sz w:val="22"/>
          <w:szCs w:val="22"/>
        </w:rPr>
        <w:t xml:space="preserve"> line) and regime switching (black line</w:t>
      </w:r>
      <w:r>
        <w:rPr>
          <w:sz w:val="22"/>
          <w:szCs w:val="22"/>
        </w:rPr>
        <w:t>)</w:t>
      </w:r>
    </w:p>
    <w:p w:rsidR="00E21609" w:rsidRPr="00953E14" w:rsidRDefault="00E21609" w:rsidP="00953E14">
      <w:pPr>
        <w:jc w:val="both"/>
        <w:rPr>
          <w:b/>
          <w:bCs/>
          <w:sz w:val="18"/>
        </w:rPr>
      </w:pPr>
    </w:p>
    <w:p w:rsidR="005D4E26" w:rsidRPr="001D77EC" w:rsidRDefault="005D4E26" w:rsidP="00C956C2">
      <w:pPr>
        <w:autoSpaceDE w:val="0"/>
        <w:autoSpaceDN w:val="0"/>
        <w:adjustRightInd w:val="0"/>
        <w:rPr>
          <w:b/>
          <w:sz w:val="28"/>
          <w:szCs w:val="28"/>
          <w:lang w:eastAsia="hr-HR"/>
        </w:rPr>
      </w:pPr>
      <w:r w:rsidRPr="001D77EC">
        <w:rPr>
          <w:b/>
          <w:sz w:val="28"/>
          <w:szCs w:val="28"/>
          <w:lang w:eastAsia="hr-HR"/>
        </w:rPr>
        <w:t>5. Conclusion</w:t>
      </w:r>
    </w:p>
    <w:p w:rsidR="005D4E26" w:rsidRPr="00953E14" w:rsidRDefault="005D4E26" w:rsidP="005D4E26">
      <w:pPr>
        <w:jc w:val="both"/>
        <w:rPr>
          <w:b/>
          <w:bCs/>
          <w:sz w:val="18"/>
        </w:rPr>
      </w:pPr>
    </w:p>
    <w:p w:rsidR="005D4E26" w:rsidRPr="001D77EC" w:rsidRDefault="00A114A2" w:rsidP="005D4E26">
      <w:pPr>
        <w:autoSpaceDE w:val="0"/>
        <w:autoSpaceDN w:val="0"/>
        <w:adjustRightInd w:val="0"/>
        <w:jc w:val="both"/>
        <w:rPr>
          <w:lang w:eastAsia="hr-HR"/>
        </w:rPr>
      </w:pPr>
      <w:r>
        <w:rPr>
          <w:lang w:eastAsia="hr-HR"/>
        </w:rPr>
        <w:t xml:space="preserve">This paper had several purposes. </w:t>
      </w:r>
      <w:r w:rsidR="005A3039">
        <w:rPr>
          <w:lang w:eastAsia="hr-HR"/>
        </w:rPr>
        <w:t>O</w:t>
      </w:r>
      <w:r>
        <w:rPr>
          <w:lang w:eastAsia="hr-HR"/>
        </w:rPr>
        <w:t>ne was to familiarize readers with problems in quantitative finance and existing models. Their inability to capture the reality has stimulated the development of regime switching models. Existing research is relatively scarce if we focus on multivariate models. Main reason lies upon facts that it is technically difficult to estimate them. However, the empirical research which applies this methodology has shown its superiority compared to other models. This study</w:t>
      </w:r>
      <w:r w:rsidR="005A3039">
        <w:rPr>
          <w:lang w:eastAsia="hr-HR"/>
        </w:rPr>
        <w:t xml:space="preserve"> focused on the Croatian financial market due to lack of similar studies. The regime switching model assumes 2 regimes: a bull and a bear market. Estimations were in accordance with foreign literature which distinguishes the two states. More importantly, this model was superior to its non switching counterpart. This means that regime switching methodology can improve portfolio performance and reduce overall risks. Given information can be very important and useful to (potential) investors. Some of the pitfalls of the study were: the absence of transaction costs, focus only on daily data and two assets, focus on basic calculations, etc. That is why future research is going to eliminate the mentioned pitfalls. Moreover, we are going to compare other models and different trading strategies, as well as try to answer </w:t>
      </w:r>
      <w:r w:rsidR="00974B50">
        <w:rPr>
          <w:lang w:eastAsia="hr-HR"/>
        </w:rPr>
        <w:t xml:space="preserve">some </w:t>
      </w:r>
      <w:r w:rsidR="005A3039">
        <w:rPr>
          <w:lang w:eastAsia="hr-HR"/>
        </w:rPr>
        <w:t>other questions</w:t>
      </w:r>
      <w:r w:rsidR="00974B50">
        <w:rPr>
          <w:lang w:eastAsia="hr-HR"/>
        </w:rPr>
        <w:t xml:space="preserve"> investors are interested in</w:t>
      </w:r>
      <w:r w:rsidR="005A3039">
        <w:rPr>
          <w:lang w:eastAsia="hr-HR"/>
        </w:rPr>
        <w:t xml:space="preserve">. They include important topics such as what drives the regimes on financial market in Croatia, can we find better models to achieve even better results and so on. However, this </w:t>
      </w:r>
      <w:r w:rsidR="005A3039" w:rsidRPr="005A3039">
        <w:rPr>
          <w:lang w:eastAsia="hr-HR"/>
        </w:rPr>
        <w:t>is a first research applying regime switching MGARCH methodology in Croatia (and the Balkan region as well) so we hope to contribute to the existing literature.</w:t>
      </w:r>
    </w:p>
    <w:p w:rsidR="005D4E26" w:rsidRPr="00953E14" w:rsidRDefault="005D4E26" w:rsidP="00953E14">
      <w:pPr>
        <w:jc w:val="both"/>
        <w:rPr>
          <w:b/>
          <w:bCs/>
          <w:sz w:val="18"/>
        </w:rPr>
      </w:pPr>
    </w:p>
    <w:p w:rsidR="00AB7296" w:rsidRPr="00974B50" w:rsidRDefault="00AB7296" w:rsidP="00AB7296">
      <w:pPr>
        <w:autoSpaceDE w:val="0"/>
        <w:autoSpaceDN w:val="0"/>
        <w:adjustRightInd w:val="0"/>
        <w:rPr>
          <w:b/>
          <w:sz w:val="28"/>
          <w:szCs w:val="28"/>
          <w:lang w:eastAsia="hr-HR"/>
        </w:rPr>
      </w:pPr>
      <w:r w:rsidRPr="00974B50">
        <w:rPr>
          <w:b/>
          <w:sz w:val="28"/>
          <w:szCs w:val="28"/>
          <w:lang w:eastAsia="hr-HR"/>
        </w:rPr>
        <w:t>References</w:t>
      </w:r>
    </w:p>
    <w:p w:rsidR="00DC24E0" w:rsidRPr="00953E14" w:rsidRDefault="00DC24E0" w:rsidP="00DC24E0">
      <w:pPr>
        <w:jc w:val="both"/>
        <w:rPr>
          <w:b/>
          <w:bCs/>
          <w:sz w:val="18"/>
        </w:rPr>
      </w:pPr>
    </w:p>
    <w:p w:rsidR="00816306" w:rsidRPr="00DC24E0" w:rsidRDefault="00816306" w:rsidP="00242D90">
      <w:pPr>
        <w:numPr>
          <w:ilvl w:val="0"/>
          <w:numId w:val="21"/>
        </w:numPr>
        <w:tabs>
          <w:tab w:val="left" w:pos="426"/>
        </w:tabs>
        <w:jc w:val="both"/>
      </w:pPr>
      <w:r w:rsidRPr="00DC24E0">
        <w:t>Alexander, C., Lazar, E. (2009</w:t>
      </w:r>
      <w:r>
        <w:t>).</w:t>
      </w:r>
      <w:r w:rsidRPr="00DC24E0">
        <w:t xml:space="preserve"> Modelling Regime-Specific Stock Price volatility, Oxford Bulletin of Economics and Statistics,</w:t>
      </w:r>
      <w:r>
        <w:t xml:space="preserve"> 71(6),</w:t>
      </w:r>
      <w:r w:rsidRPr="00DC24E0">
        <w:t xml:space="preserve"> 1–37.</w:t>
      </w:r>
    </w:p>
    <w:p w:rsidR="00816306" w:rsidRPr="00DC24E0" w:rsidRDefault="00816306" w:rsidP="00242D90">
      <w:pPr>
        <w:numPr>
          <w:ilvl w:val="0"/>
          <w:numId w:val="21"/>
        </w:numPr>
        <w:tabs>
          <w:tab w:val="left" w:pos="426"/>
        </w:tabs>
        <w:jc w:val="both"/>
      </w:pPr>
      <w:proofErr w:type="spellStart"/>
      <w:r w:rsidRPr="00DC24E0">
        <w:t>Ang</w:t>
      </w:r>
      <w:proofErr w:type="spellEnd"/>
      <w:r w:rsidRPr="00DC24E0">
        <w:t xml:space="preserve">, A. and </w:t>
      </w:r>
      <w:proofErr w:type="spellStart"/>
      <w:r w:rsidRPr="00DC24E0">
        <w:t>Bekaert</w:t>
      </w:r>
      <w:proofErr w:type="spellEnd"/>
      <w:r w:rsidRPr="00DC24E0">
        <w:t>, G. (2000</w:t>
      </w:r>
      <w:r>
        <w:t>).</w:t>
      </w:r>
      <w:r w:rsidRPr="00DC24E0">
        <w:t xml:space="preserve"> International Asset Allocation with Regime Shifts, Columbia University and NBER Working Paper.</w:t>
      </w:r>
    </w:p>
    <w:p w:rsidR="00816306" w:rsidRPr="00DC24E0" w:rsidRDefault="00816306" w:rsidP="00242D90">
      <w:pPr>
        <w:numPr>
          <w:ilvl w:val="0"/>
          <w:numId w:val="21"/>
        </w:numPr>
        <w:tabs>
          <w:tab w:val="left" w:pos="426"/>
        </w:tabs>
        <w:jc w:val="both"/>
      </w:pPr>
      <w:proofErr w:type="spellStart"/>
      <w:r w:rsidRPr="00DC24E0">
        <w:t>Ang</w:t>
      </w:r>
      <w:proofErr w:type="spellEnd"/>
      <w:r w:rsidRPr="00DC24E0">
        <w:t>, A.</w:t>
      </w:r>
      <w:r>
        <w:t xml:space="preserve"> and</w:t>
      </w:r>
      <w:r w:rsidRPr="00DC24E0">
        <w:t xml:space="preserve"> </w:t>
      </w:r>
      <w:proofErr w:type="spellStart"/>
      <w:r w:rsidRPr="00DC24E0">
        <w:t>Timmermann</w:t>
      </w:r>
      <w:proofErr w:type="spellEnd"/>
      <w:r w:rsidRPr="00DC24E0">
        <w:t>, A. (2011</w:t>
      </w:r>
      <w:r>
        <w:t>).</w:t>
      </w:r>
      <w:r w:rsidRPr="00DC24E0">
        <w:t xml:space="preserve"> Regime changes and financial markets, NBER </w:t>
      </w:r>
      <w:proofErr w:type="gramStart"/>
      <w:r w:rsidRPr="00DC24E0">
        <w:t>Working</w:t>
      </w:r>
      <w:proofErr w:type="gramEnd"/>
      <w:r w:rsidRPr="00DC24E0">
        <w:t xml:space="preserve"> paper No. 17182.</w:t>
      </w:r>
    </w:p>
    <w:p w:rsidR="00816306" w:rsidRPr="00DC24E0" w:rsidRDefault="00816306" w:rsidP="00242D90">
      <w:pPr>
        <w:numPr>
          <w:ilvl w:val="0"/>
          <w:numId w:val="21"/>
        </w:numPr>
        <w:tabs>
          <w:tab w:val="left" w:pos="426"/>
        </w:tabs>
        <w:jc w:val="both"/>
      </w:pPr>
      <w:proofErr w:type="spellStart"/>
      <w:r w:rsidRPr="00DC24E0">
        <w:t>Arnerić</w:t>
      </w:r>
      <w:proofErr w:type="spellEnd"/>
      <w:r w:rsidRPr="00DC24E0">
        <w:t>, J.</w:t>
      </w:r>
      <w:r>
        <w:t xml:space="preserve"> </w:t>
      </w:r>
      <w:proofErr w:type="gramStart"/>
      <w:r>
        <w:t xml:space="preserve">and </w:t>
      </w:r>
      <w:r w:rsidRPr="00DC24E0">
        <w:t xml:space="preserve"> </w:t>
      </w:r>
      <w:proofErr w:type="spellStart"/>
      <w:r w:rsidRPr="00DC24E0">
        <w:t>Erjavec</w:t>
      </w:r>
      <w:proofErr w:type="spellEnd"/>
      <w:proofErr w:type="gramEnd"/>
      <w:r w:rsidRPr="00DC24E0">
        <w:t>, N. (2010</w:t>
      </w:r>
      <w:r>
        <w:t>).</w:t>
      </w:r>
      <w:r w:rsidRPr="00DC24E0">
        <w:t xml:space="preserve"> Regime switching </w:t>
      </w:r>
      <w:proofErr w:type="spellStart"/>
      <w:r w:rsidRPr="00DC24E0">
        <w:t>modelling</w:t>
      </w:r>
      <w:proofErr w:type="spellEnd"/>
      <w:r w:rsidRPr="00DC24E0">
        <w:t xml:space="preserve"> of structural changes caused by financial crisis, Proceedings of the 5th International Conference </w:t>
      </w:r>
      <w:proofErr w:type="gramStart"/>
      <w:r w:rsidRPr="00DC24E0">
        <w:t>An</w:t>
      </w:r>
      <w:proofErr w:type="gramEnd"/>
      <w:r w:rsidRPr="00DC24E0">
        <w:t xml:space="preserve"> Enterprise Odyssey: From Crisis to Prosperity - Challenges for Government and Business / </w:t>
      </w:r>
      <w:proofErr w:type="spellStart"/>
      <w:r w:rsidRPr="00DC24E0">
        <w:t>Galetić</w:t>
      </w:r>
      <w:proofErr w:type="spellEnd"/>
      <w:r w:rsidRPr="00DC24E0">
        <w:t xml:space="preserve">, L., </w:t>
      </w:r>
      <w:proofErr w:type="spellStart"/>
      <w:r w:rsidRPr="00DC24E0">
        <w:t>Spremić</w:t>
      </w:r>
      <w:proofErr w:type="spellEnd"/>
      <w:r w:rsidRPr="00DC24E0">
        <w:t xml:space="preserve">, M., </w:t>
      </w:r>
      <w:proofErr w:type="spellStart"/>
      <w:r w:rsidRPr="00DC24E0">
        <w:t>Ivanov</w:t>
      </w:r>
      <w:proofErr w:type="spellEnd"/>
      <w:r w:rsidRPr="00DC24E0">
        <w:t>, M. (</w:t>
      </w:r>
      <w:proofErr w:type="spellStart"/>
      <w:r w:rsidRPr="00DC24E0">
        <w:t>ed</w:t>
      </w:r>
      <w:proofErr w:type="spellEnd"/>
      <w:r>
        <w:t>)</w:t>
      </w:r>
      <w:r w:rsidRPr="00DC24E0">
        <w:t>. - Zagreb: Faculty of Economics and Business, 79–89.</w:t>
      </w:r>
    </w:p>
    <w:p w:rsidR="00816306" w:rsidRPr="00DC24E0" w:rsidRDefault="00816306" w:rsidP="00242D90">
      <w:pPr>
        <w:numPr>
          <w:ilvl w:val="0"/>
          <w:numId w:val="21"/>
        </w:numPr>
        <w:tabs>
          <w:tab w:val="left" w:pos="426"/>
        </w:tabs>
        <w:jc w:val="both"/>
      </w:pPr>
      <w:proofErr w:type="spellStart"/>
      <w:r w:rsidRPr="00DC24E0">
        <w:t>Arnerić</w:t>
      </w:r>
      <w:proofErr w:type="spellEnd"/>
      <w:r w:rsidRPr="00DC24E0">
        <w:t>, J.</w:t>
      </w:r>
      <w:r>
        <w:t xml:space="preserve"> and</w:t>
      </w:r>
      <w:r w:rsidRPr="00DC24E0">
        <w:t xml:space="preserve"> </w:t>
      </w:r>
      <w:proofErr w:type="spellStart"/>
      <w:r w:rsidRPr="00DC24E0">
        <w:t>Škrabić</w:t>
      </w:r>
      <w:proofErr w:type="spellEnd"/>
      <w:r w:rsidRPr="00DC24E0">
        <w:t xml:space="preserve"> </w:t>
      </w:r>
      <w:proofErr w:type="spellStart"/>
      <w:r w:rsidRPr="00DC24E0">
        <w:t>Perić</w:t>
      </w:r>
      <w:proofErr w:type="spellEnd"/>
      <w:r w:rsidRPr="00DC24E0">
        <w:t>, B. (2015</w:t>
      </w:r>
      <w:r>
        <w:t>).</w:t>
      </w:r>
      <w:r w:rsidRPr="00DC24E0">
        <w:t xml:space="preserve"> Markov Switching of Conditional Variance, Lisbon Portugal Apr 16-17, </w:t>
      </w:r>
      <w:r>
        <w:t>17(4),</w:t>
      </w:r>
      <w:r w:rsidRPr="00DC24E0">
        <w:t xml:space="preserve"> 556–559.</w:t>
      </w:r>
    </w:p>
    <w:p w:rsidR="00816306" w:rsidRPr="00DC24E0" w:rsidRDefault="00816306" w:rsidP="00242D90">
      <w:pPr>
        <w:numPr>
          <w:ilvl w:val="0"/>
          <w:numId w:val="21"/>
        </w:numPr>
        <w:tabs>
          <w:tab w:val="left" w:pos="426"/>
        </w:tabs>
        <w:jc w:val="both"/>
      </w:pPr>
      <w:proofErr w:type="spellStart"/>
      <w:r w:rsidRPr="00DC24E0">
        <w:t>Baele</w:t>
      </w:r>
      <w:proofErr w:type="spellEnd"/>
      <w:r w:rsidRPr="00DC24E0">
        <w:t>, L. (2002</w:t>
      </w:r>
      <w:r>
        <w:t>).</w:t>
      </w:r>
      <w:r w:rsidRPr="00DC24E0">
        <w:t xml:space="preserve"> Volatility Spillover Effects in European Equity Markets: Evidence from a Regime-Switching Model, Working paper.</w:t>
      </w:r>
    </w:p>
    <w:p w:rsidR="00816306" w:rsidRPr="00DC24E0" w:rsidRDefault="00816306" w:rsidP="00242D90">
      <w:pPr>
        <w:numPr>
          <w:ilvl w:val="0"/>
          <w:numId w:val="21"/>
        </w:numPr>
        <w:tabs>
          <w:tab w:val="left" w:pos="426"/>
        </w:tabs>
        <w:jc w:val="both"/>
      </w:pPr>
      <w:proofErr w:type="spellStart"/>
      <w:r w:rsidRPr="00DC24E0">
        <w:t>Billio</w:t>
      </w:r>
      <w:proofErr w:type="spellEnd"/>
      <w:r w:rsidRPr="00DC24E0">
        <w:t xml:space="preserve">, </w:t>
      </w:r>
      <w:r>
        <w:t xml:space="preserve">M. and </w:t>
      </w:r>
      <w:proofErr w:type="spellStart"/>
      <w:r w:rsidRPr="00DC24E0">
        <w:t>Caporin</w:t>
      </w:r>
      <w:proofErr w:type="spellEnd"/>
      <w:proofErr w:type="gramStart"/>
      <w:r>
        <w:t xml:space="preserve">, </w:t>
      </w:r>
      <w:r w:rsidRPr="00DC24E0">
        <w:t xml:space="preserve"> </w:t>
      </w:r>
      <w:r>
        <w:t>M</w:t>
      </w:r>
      <w:proofErr w:type="gramEnd"/>
      <w:r>
        <w:t xml:space="preserve">. (2005). </w:t>
      </w:r>
      <w:r w:rsidRPr="00DC24E0">
        <w:t>Multivariate Markov switching dynamic conditional correlation GARCH</w:t>
      </w:r>
      <w:r>
        <w:t xml:space="preserve">  representations for contagion, </w:t>
      </w:r>
      <w:r w:rsidRPr="00DC24E0">
        <w:t xml:space="preserve">Statistical Methods </w:t>
      </w:r>
      <w:r>
        <w:t>and</w:t>
      </w:r>
      <w:r w:rsidRPr="00DC24E0">
        <w:t xml:space="preserve"> Applications</w:t>
      </w:r>
      <w:r>
        <w:t xml:space="preserve">, </w:t>
      </w:r>
      <w:r w:rsidRPr="00DC24E0">
        <w:t>14</w:t>
      </w:r>
      <w:r>
        <w:t>,</w:t>
      </w:r>
      <w:r w:rsidRPr="00DC24E0">
        <w:t xml:space="preserve"> 145–161</w:t>
      </w:r>
      <w:r>
        <w:t>.</w:t>
      </w:r>
    </w:p>
    <w:p w:rsidR="00816306" w:rsidRPr="00DC24E0" w:rsidRDefault="00816306" w:rsidP="00242D90">
      <w:pPr>
        <w:numPr>
          <w:ilvl w:val="0"/>
          <w:numId w:val="21"/>
        </w:numPr>
        <w:tabs>
          <w:tab w:val="left" w:pos="426"/>
        </w:tabs>
        <w:jc w:val="both"/>
      </w:pPr>
      <w:proofErr w:type="spellStart"/>
      <w:r w:rsidRPr="00DC24E0">
        <w:t>Billio</w:t>
      </w:r>
      <w:proofErr w:type="spellEnd"/>
      <w:r>
        <w:t>, M. and</w:t>
      </w:r>
      <w:r w:rsidRPr="00DC24E0">
        <w:t xml:space="preserve"> </w:t>
      </w:r>
      <w:proofErr w:type="spellStart"/>
      <w:r>
        <w:t>P</w:t>
      </w:r>
      <w:r w:rsidRPr="00DC24E0">
        <w:t>elizzon</w:t>
      </w:r>
      <w:proofErr w:type="spellEnd"/>
      <w:r>
        <w:t>, L.</w:t>
      </w:r>
      <w:r w:rsidRPr="00DC24E0">
        <w:t xml:space="preserve"> </w:t>
      </w:r>
      <w:r>
        <w:t>(</w:t>
      </w:r>
      <w:r w:rsidRPr="00DC24E0">
        <w:t>2002</w:t>
      </w:r>
      <w:r>
        <w:t>).</w:t>
      </w:r>
      <w:r w:rsidRPr="00DC24E0">
        <w:t xml:space="preserve"> </w:t>
      </w:r>
      <w:r>
        <w:t>V</w:t>
      </w:r>
      <w:r w:rsidRPr="00DC24E0">
        <w:t>alue at risk: a multivariate switching regime approach</w:t>
      </w:r>
      <w:r>
        <w:t>,</w:t>
      </w:r>
      <w:r w:rsidRPr="00DC24E0">
        <w:t xml:space="preserve"> </w:t>
      </w:r>
      <w:r>
        <w:t>J</w:t>
      </w:r>
      <w:r w:rsidRPr="00DC24E0">
        <w:t xml:space="preserve">ournal of </w:t>
      </w:r>
      <w:r>
        <w:t>E</w:t>
      </w:r>
      <w:r w:rsidRPr="00DC24E0">
        <w:t xml:space="preserve">mpirical </w:t>
      </w:r>
      <w:r>
        <w:t>F</w:t>
      </w:r>
      <w:r w:rsidRPr="00DC24E0">
        <w:t>inance</w:t>
      </w:r>
      <w:r>
        <w:t>, 7, 531</w:t>
      </w:r>
      <w:r w:rsidRPr="00DC24E0">
        <w:t>–</w:t>
      </w:r>
      <w:r>
        <w:t>554.</w:t>
      </w:r>
    </w:p>
    <w:p w:rsidR="00816306" w:rsidRPr="00DC24E0" w:rsidRDefault="00816306" w:rsidP="00242D90">
      <w:pPr>
        <w:numPr>
          <w:ilvl w:val="0"/>
          <w:numId w:val="21"/>
        </w:numPr>
        <w:tabs>
          <w:tab w:val="left" w:pos="426"/>
        </w:tabs>
        <w:jc w:val="both"/>
      </w:pPr>
      <w:proofErr w:type="spellStart"/>
      <w:r w:rsidRPr="00DC24E0">
        <w:t>Billio</w:t>
      </w:r>
      <w:proofErr w:type="spellEnd"/>
      <w:r>
        <w:t>, M. and</w:t>
      </w:r>
      <w:r w:rsidRPr="00DC24E0">
        <w:t xml:space="preserve"> </w:t>
      </w:r>
      <w:proofErr w:type="spellStart"/>
      <w:r>
        <w:t>P</w:t>
      </w:r>
      <w:r w:rsidRPr="00DC24E0">
        <w:t>elizzon</w:t>
      </w:r>
      <w:proofErr w:type="spellEnd"/>
      <w:r>
        <w:t>, L.</w:t>
      </w:r>
      <w:r w:rsidRPr="00DC24E0">
        <w:t xml:space="preserve"> </w:t>
      </w:r>
      <w:r>
        <w:t>(</w:t>
      </w:r>
      <w:r w:rsidRPr="00DC24E0">
        <w:t>2003</w:t>
      </w:r>
      <w:r>
        <w:t>).</w:t>
      </w:r>
      <w:r w:rsidRPr="00DC24E0">
        <w:t xml:space="preserve"> </w:t>
      </w:r>
      <w:r>
        <w:t>V</w:t>
      </w:r>
      <w:r w:rsidRPr="00DC24E0">
        <w:t xml:space="preserve">olatility and shocks spillover before and after </w:t>
      </w:r>
      <w:r>
        <w:t>EMU</w:t>
      </w:r>
      <w:r w:rsidRPr="00DC24E0">
        <w:t xml:space="preserve"> in European stock markets</w:t>
      </w:r>
      <w:r>
        <w:t>, J</w:t>
      </w:r>
      <w:r w:rsidRPr="00DC24E0">
        <w:t xml:space="preserve">ournal of </w:t>
      </w:r>
      <w:r>
        <w:t>M</w:t>
      </w:r>
      <w:r w:rsidRPr="00DC24E0">
        <w:t xml:space="preserve">ultinational </w:t>
      </w:r>
      <w:r>
        <w:t>F</w:t>
      </w:r>
      <w:r w:rsidRPr="00DC24E0">
        <w:t xml:space="preserve">inancial </w:t>
      </w:r>
      <w:r>
        <w:t>M</w:t>
      </w:r>
      <w:r w:rsidRPr="00DC24E0">
        <w:t>anagement</w:t>
      </w:r>
      <w:r>
        <w:t>, 13(4-5), 323</w:t>
      </w:r>
      <w:r w:rsidRPr="00DC24E0">
        <w:t>–</w:t>
      </w:r>
      <w:r>
        <w:t>340.</w:t>
      </w:r>
    </w:p>
    <w:p w:rsidR="00816306" w:rsidRPr="00DC24E0" w:rsidRDefault="00816306" w:rsidP="00242D90">
      <w:pPr>
        <w:numPr>
          <w:ilvl w:val="0"/>
          <w:numId w:val="21"/>
        </w:numPr>
        <w:tabs>
          <w:tab w:val="left" w:pos="426"/>
        </w:tabs>
        <w:jc w:val="both"/>
      </w:pPr>
      <w:proofErr w:type="spellStart"/>
      <w:r w:rsidRPr="00DC24E0">
        <w:t>Bollerslev</w:t>
      </w:r>
      <w:proofErr w:type="spellEnd"/>
      <w:r w:rsidRPr="00DC24E0">
        <w:t xml:space="preserve">, </w:t>
      </w:r>
      <w:r>
        <w:t>T.</w:t>
      </w:r>
      <w:r w:rsidRPr="00DC24E0">
        <w:t xml:space="preserve"> (1990</w:t>
      </w:r>
      <w:r>
        <w:t xml:space="preserve">). </w:t>
      </w:r>
      <w:r w:rsidRPr="00DC24E0">
        <w:t>Modeling the Coherence in Short-run Nominal Exchange Rates: A Multivariate Generalized ARCH Model</w:t>
      </w:r>
      <w:r>
        <w:t>,</w:t>
      </w:r>
      <w:r w:rsidRPr="00DC24E0">
        <w:t xml:space="preserve"> The Review of Economics and Statistics. 72(3</w:t>
      </w:r>
      <w:r>
        <w:t>),</w:t>
      </w:r>
      <w:r w:rsidRPr="00DC24E0">
        <w:t xml:space="preserve"> 498–505</w:t>
      </w:r>
      <w:r>
        <w:t>.</w:t>
      </w:r>
    </w:p>
    <w:p w:rsidR="00816306" w:rsidRPr="00DC24E0" w:rsidRDefault="00816306" w:rsidP="00242D90">
      <w:pPr>
        <w:numPr>
          <w:ilvl w:val="0"/>
          <w:numId w:val="21"/>
        </w:numPr>
        <w:tabs>
          <w:tab w:val="left" w:pos="426"/>
        </w:tabs>
        <w:jc w:val="both"/>
      </w:pPr>
      <w:proofErr w:type="spellStart"/>
      <w:r>
        <w:lastRenderedPageBreak/>
        <w:t>Cappiello</w:t>
      </w:r>
      <w:proofErr w:type="spellEnd"/>
      <w:r>
        <w:t xml:space="preserve">, L. and </w:t>
      </w:r>
      <w:proofErr w:type="spellStart"/>
      <w:r w:rsidRPr="00DC24E0">
        <w:t>Fearnley</w:t>
      </w:r>
      <w:proofErr w:type="spellEnd"/>
      <w:r w:rsidRPr="00DC24E0">
        <w:t>, T. A. (2000</w:t>
      </w:r>
      <w:r>
        <w:t>).</w:t>
      </w:r>
      <w:r w:rsidRPr="00DC24E0">
        <w:t xml:space="preserve"> International CAPM with Regime Switching GARCH Parameters, Graduate Institute of International Studies, University of Geneva, Switzerland, mimeo.</w:t>
      </w:r>
    </w:p>
    <w:p w:rsidR="00816306" w:rsidRPr="00DC24E0" w:rsidRDefault="00816306" w:rsidP="00242D90">
      <w:pPr>
        <w:numPr>
          <w:ilvl w:val="0"/>
          <w:numId w:val="21"/>
        </w:numPr>
        <w:tabs>
          <w:tab w:val="left" w:pos="426"/>
        </w:tabs>
        <w:jc w:val="both"/>
      </w:pPr>
      <w:r w:rsidRPr="00DC24E0">
        <w:t>Chen, R. (2009</w:t>
      </w:r>
      <w:r>
        <w:t>).</w:t>
      </w:r>
      <w:r w:rsidRPr="00DC24E0">
        <w:t xml:space="preserve"> Regime Switching in Volatilities and Correlation between Stock and Bond Markets, Working Paper, London School of Economics.</w:t>
      </w:r>
    </w:p>
    <w:p w:rsidR="00816306" w:rsidRPr="00DC24E0" w:rsidRDefault="00816306" w:rsidP="00242D90">
      <w:pPr>
        <w:numPr>
          <w:ilvl w:val="0"/>
          <w:numId w:val="21"/>
        </w:numPr>
        <w:tabs>
          <w:tab w:val="left" w:pos="426"/>
        </w:tabs>
        <w:jc w:val="both"/>
      </w:pPr>
      <w:r w:rsidRPr="00DC24E0">
        <w:t>Diebold, F.X. (1986</w:t>
      </w:r>
      <w:r>
        <w:t>).</w:t>
      </w:r>
      <w:r w:rsidRPr="00DC24E0">
        <w:t xml:space="preserve"> Comment on </w:t>
      </w:r>
      <w:proofErr w:type="gramStart"/>
      <w:r w:rsidRPr="00DC24E0">
        <w:t>Modelling</w:t>
      </w:r>
      <w:proofErr w:type="gramEnd"/>
      <w:r w:rsidRPr="00DC24E0">
        <w:t xml:space="preserve"> the persistence of Conditional Variance, Econometric Reviews, </w:t>
      </w:r>
      <w:r>
        <w:t xml:space="preserve">5, </w:t>
      </w:r>
      <w:r w:rsidRPr="00DC24E0">
        <w:t>51–56.</w:t>
      </w:r>
    </w:p>
    <w:p w:rsidR="00816306" w:rsidRPr="00DC24E0" w:rsidRDefault="00816306" w:rsidP="00242D90">
      <w:pPr>
        <w:numPr>
          <w:ilvl w:val="0"/>
          <w:numId w:val="21"/>
        </w:numPr>
        <w:tabs>
          <w:tab w:val="left" w:pos="426"/>
        </w:tabs>
        <w:jc w:val="both"/>
      </w:pPr>
      <w:r w:rsidRPr="00DC24E0">
        <w:t xml:space="preserve">Edwards, </w:t>
      </w:r>
      <w:r>
        <w:t>S.</w:t>
      </w:r>
      <w:r w:rsidRPr="00DC24E0">
        <w:t xml:space="preserve"> and </w:t>
      </w:r>
      <w:proofErr w:type="spellStart"/>
      <w:r w:rsidRPr="00DC24E0">
        <w:t>Susmel</w:t>
      </w:r>
      <w:proofErr w:type="spellEnd"/>
      <w:r>
        <w:t xml:space="preserve">, R. (2001) </w:t>
      </w:r>
      <w:r w:rsidRPr="00DC24E0">
        <w:t xml:space="preserve">Volatility Dependence And Contagion In Emerging Equity Markets, Journal of Development Economics, </w:t>
      </w:r>
      <w:r>
        <w:t>66(2),</w:t>
      </w:r>
      <w:r w:rsidRPr="00DC24E0">
        <w:t xml:space="preserve"> 505–532.</w:t>
      </w:r>
    </w:p>
    <w:p w:rsidR="00816306" w:rsidRPr="00DC24E0" w:rsidRDefault="00816306" w:rsidP="00242D90">
      <w:pPr>
        <w:numPr>
          <w:ilvl w:val="0"/>
          <w:numId w:val="21"/>
        </w:numPr>
        <w:tabs>
          <w:tab w:val="left" w:pos="426"/>
        </w:tabs>
        <w:jc w:val="both"/>
      </w:pPr>
      <w:r w:rsidRPr="00DC24E0">
        <w:t xml:space="preserve">Edwards, S. and </w:t>
      </w:r>
      <w:proofErr w:type="spellStart"/>
      <w:r w:rsidRPr="00DC24E0">
        <w:t>Susmel</w:t>
      </w:r>
      <w:proofErr w:type="spellEnd"/>
      <w:r w:rsidRPr="00DC24E0">
        <w:t>, R. (2003</w:t>
      </w:r>
      <w:r>
        <w:t>).</w:t>
      </w:r>
      <w:r w:rsidRPr="00DC24E0">
        <w:t xml:space="preserve"> Interest-Rate Volatility in Emerging Markets, </w:t>
      </w:r>
      <w:proofErr w:type="gramStart"/>
      <w:r w:rsidRPr="00DC24E0">
        <w:t>The</w:t>
      </w:r>
      <w:proofErr w:type="gramEnd"/>
      <w:r w:rsidRPr="00DC24E0">
        <w:t xml:space="preserve"> Review of Economics and Statistics, </w:t>
      </w:r>
      <w:r>
        <w:t>85(2)</w:t>
      </w:r>
      <w:r w:rsidRPr="00DC24E0">
        <w:t>, 328–348.</w:t>
      </w:r>
    </w:p>
    <w:p w:rsidR="00816306" w:rsidRPr="00DC24E0" w:rsidRDefault="00816306" w:rsidP="00242D90">
      <w:pPr>
        <w:numPr>
          <w:ilvl w:val="0"/>
          <w:numId w:val="21"/>
        </w:numPr>
        <w:tabs>
          <w:tab w:val="left" w:pos="426"/>
        </w:tabs>
        <w:jc w:val="both"/>
      </w:pPr>
      <w:r w:rsidRPr="00DC24E0">
        <w:t>Enders, W. (2015</w:t>
      </w:r>
      <w:r>
        <w:t>).</w:t>
      </w:r>
      <w:r w:rsidRPr="00DC24E0">
        <w:t xml:space="preserve"> Applied econometric time series, New York: Wiley.</w:t>
      </w:r>
    </w:p>
    <w:p w:rsidR="00816306" w:rsidRPr="00DC24E0" w:rsidRDefault="00816306" w:rsidP="00242D90">
      <w:pPr>
        <w:numPr>
          <w:ilvl w:val="0"/>
          <w:numId w:val="21"/>
        </w:numPr>
        <w:tabs>
          <w:tab w:val="left" w:pos="426"/>
        </w:tabs>
        <w:jc w:val="both"/>
      </w:pPr>
      <w:proofErr w:type="spellStart"/>
      <w:r w:rsidRPr="00DC24E0">
        <w:t>Franses</w:t>
      </w:r>
      <w:proofErr w:type="spellEnd"/>
      <w:r w:rsidRPr="00DC24E0">
        <w:t>, P. H.</w:t>
      </w:r>
      <w:r>
        <w:t xml:space="preserve"> and</w:t>
      </w:r>
      <w:r w:rsidRPr="00DC24E0">
        <w:t xml:space="preserve"> van </w:t>
      </w:r>
      <w:proofErr w:type="spellStart"/>
      <w:r w:rsidRPr="00DC24E0">
        <w:t>Dijk</w:t>
      </w:r>
      <w:proofErr w:type="spellEnd"/>
      <w:r w:rsidRPr="00DC24E0">
        <w:t>, D. (2000</w:t>
      </w:r>
      <w:r>
        <w:t>).</w:t>
      </w:r>
      <w:r w:rsidRPr="00DC24E0">
        <w:t xml:space="preserve"> Nonlinear time series models in empirical finance, Cambridge: Cambridge University Press.</w:t>
      </w:r>
    </w:p>
    <w:p w:rsidR="00816306" w:rsidRPr="00DC24E0" w:rsidRDefault="00816306" w:rsidP="00242D90">
      <w:pPr>
        <w:numPr>
          <w:ilvl w:val="0"/>
          <w:numId w:val="21"/>
        </w:numPr>
        <w:tabs>
          <w:tab w:val="left" w:pos="426"/>
        </w:tabs>
        <w:jc w:val="both"/>
      </w:pPr>
      <w:r>
        <w:t xml:space="preserve">Haas, M. </w:t>
      </w:r>
      <w:proofErr w:type="gramStart"/>
      <w:r>
        <w:t xml:space="preserve">and </w:t>
      </w:r>
      <w:r w:rsidRPr="00DC24E0">
        <w:t xml:space="preserve"> Liu</w:t>
      </w:r>
      <w:proofErr w:type="gramEnd"/>
      <w:r>
        <w:t>, J-C.</w:t>
      </w:r>
      <w:r w:rsidRPr="00DC24E0">
        <w:t xml:space="preserve"> (2015</w:t>
      </w:r>
      <w:r>
        <w:t>).</w:t>
      </w:r>
      <w:r w:rsidRPr="00DC24E0">
        <w:t xml:space="preserve"> Theory for a Multivariate Markov-switching GARCH Model with an Application to Stock Markets</w:t>
      </w:r>
      <w:r>
        <w:t xml:space="preserve">, </w:t>
      </w:r>
      <w:proofErr w:type="spellStart"/>
      <w:r>
        <w:t>Beiträge</w:t>
      </w:r>
      <w:proofErr w:type="spellEnd"/>
      <w:r>
        <w:t xml:space="preserve"> </w:t>
      </w:r>
      <w:proofErr w:type="spellStart"/>
      <w:r>
        <w:t>zur</w:t>
      </w:r>
      <w:proofErr w:type="spellEnd"/>
      <w:r>
        <w:t xml:space="preserve"> </w:t>
      </w:r>
      <w:proofErr w:type="spellStart"/>
      <w:r>
        <w:t>Jahrestagung</w:t>
      </w:r>
      <w:proofErr w:type="spellEnd"/>
      <w:r>
        <w:t xml:space="preserve"> </w:t>
      </w:r>
      <w:r>
        <w:t xml:space="preserve">des </w:t>
      </w:r>
      <w:proofErr w:type="spellStart"/>
      <w:r>
        <w:t>Vereins</w:t>
      </w:r>
      <w:proofErr w:type="spellEnd"/>
      <w:r>
        <w:t xml:space="preserve"> </w:t>
      </w:r>
      <w:proofErr w:type="spellStart"/>
      <w:r>
        <w:t>für</w:t>
      </w:r>
      <w:proofErr w:type="spellEnd"/>
      <w:r>
        <w:t xml:space="preserve"> </w:t>
      </w:r>
      <w:proofErr w:type="spellStart"/>
      <w:r>
        <w:t>Socialpolitik</w:t>
      </w:r>
      <w:proofErr w:type="spellEnd"/>
      <w:r>
        <w:t xml:space="preserve"> 2015: </w:t>
      </w:r>
      <w:proofErr w:type="spellStart"/>
      <w:r>
        <w:t>Ökonomische</w:t>
      </w:r>
      <w:proofErr w:type="spellEnd"/>
      <w:r>
        <w:t xml:space="preserve"> </w:t>
      </w:r>
      <w:proofErr w:type="spellStart"/>
      <w:r>
        <w:t>Entwicklung</w:t>
      </w:r>
      <w:proofErr w:type="spellEnd"/>
      <w:r>
        <w:t xml:space="preserve"> - </w:t>
      </w:r>
      <w:proofErr w:type="spellStart"/>
      <w:r>
        <w:t>Theorie</w:t>
      </w:r>
      <w:proofErr w:type="spellEnd"/>
      <w:r>
        <w:t xml:space="preserve"> und </w:t>
      </w:r>
      <w:proofErr w:type="spellStart"/>
      <w:r>
        <w:t>Politik</w:t>
      </w:r>
      <w:proofErr w:type="spellEnd"/>
      <w:r>
        <w:t xml:space="preserve"> - Session:</w:t>
      </w:r>
      <w:r>
        <w:t xml:space="preserve"> </w:t>
      </w:r>
      <w:r>
        <w:t>Financial Econometrics, No. B22-V2</w:t>
      </w:r>
      <w:r>
        <w:t>.</w:t>
      </w:r>
    </w:p>
    <w:p w:rsidR="00816306" w:rsidRPr="00DC24E0" w:rsidRDefault="00816306" w:rsidP="00242D90">
      <w:pPr>
        <w:numPr>
          <w:ilvl w:val="0"/>
          <w:numId w:val="21"/>
        </w:numPr>
        <w:tabs>
          <w:tab w:val="left" w:pos="426"/>
        </w:tabs>
        <w:jc w:val="both"/>
      </w:pPr>
      <w:r w:rsidRPr="00DC24E0">
        <w:t xml:space="preserve">Haas, M. and </w:t>
      </w:r>
      <w:proofErr w:type="spellStart"/>
      <w:r w:rsidRPr="00DC24E0">
        <w:t>Mittnik</w:t>
      </w:r>
      <w:proofErr w:type="spellEnd"/>
      <w:r w:rsidRPr="00DC24E0">
        <w:t>, S. (2008</w:t>
      </w:r>
      <w:r>
        <w:t>).</w:t>
      </w:r>
      <w:r w:rsidRPr="00DC24E0">
        <w:t xml:space="preserve"> Multivariate </w:t>
      </w:r>
      <w:proofErr w:type="spellStart"/>
      <w:r w:rsidRPr="00DC24E0">
        <w:t>regimeswitching</w:t>
      </w:r>
      <w:proofErr w:type="spellEnd"/>
      <w:r w:rsidRPr="00DC24E0">
        <w:t xml:space="preserve"> GARCH with an application to international stock markets, CFS Working Paper, No. 2008/06</w:t>
      </w:r>
      <w:r>
        <w:t>.</w:t>
      </w:r>
    </w:p>
    <w:p w:rsidR="00816306" w:rsidRPr="00DC24E0" w:rsidRDefault="00816306" w:rsidP="00242D90">
      <w:pPr>
        <w:numPr>
          <w:ilvl w:val="0"/>
          <w:numId w:val="21"/>
        </w:numPr>
        <w:tabs>
          <w:tab w:val="left" w:pos="426"/>
        </w:tabs>
        <w:jc w:val="both"/>
      </w:pPr>
      <w:r w:rsidRPr="00DC24E0">
        <w:t xml:space="preserve">Haas, </w:t>
      </w:r>
      <w:r>
        <w:t>M.,</w:t>
      </w:r>
      <w:r w:rsidRPr="00DC24E0">
        <w:t xml:space="preserve"> </w:t>
      </w:r>
      <w:proofErr w:type="spellStart"/>
      <w:r w:rsidRPr="00DC24E0">
        <w:t>Mittnik</w:t>
      </w:r>
      <w:proofErr w:type="spellEnd"/>
      <w:r w:rsidRPr="00DC24E0">
        <w:t xml:space="preserve">, </w:t>
      </w:r>
      <w:r>
        <w:t xml:space="preserve">S. </w:t>
      </w:r>
      <w:r w:rsidRPr="00DC24E0">
        <w:t xml:space="preserve">and </w:t>
      </w:r>
      <w:proofErr w:type="spellStart"/>
      <w:r w:rsidRPr="00DC24E0">
        <w:t>Paolella</w:t>
      </w:r>
      <w:proofErr w:type="spellEnd"/>
      <w:r w:rsidRPr="00DC24E0">
        <w:t xml:space="preserve">, </w:t>
      </w:r>
      <w:r>
        <w:t>M.</w:t>
      </w:r>
      <w:r w:rsidRPr="00DC24E0">
        <w:t xml:space="preserve"> S.</w:t>
      </w:r>
      <w:r>
        <w:t xml:space="preserve"> (2006)</w:t>
      </w:r>
      <w:r w:rsidRPr="00DC24E0">
        <w:t xml:space="preserve"> Multivariate Normal Mixture GARCH CFS Working Paper No. 2006/09</w:t>
      </w:r>
      <w:r>
        <w:t>.</w:t>
      </w:r>
    </w:p>
    <w:p w:rsidR="00816306" w:rsidRPr="00DC24E0" w:rsidRDefault="00816306" w:rsidP="00242D90">
      <w:pPr>
        <w:numPr>
          <w:ilvl w:val="0"/>
          <w:numId w:val="21"/>
        </w:numPr>
        <w:tabs>
          <w:tab w:val="left" w:pos="426"/>
        </w:tabs>
        <w:jc w:val="both"/>
      </w:pPr>
      <w:proofErr w:type="spellStart"/>
      <w:r w:rsidRPr="00DC24E0">
        <w:t>Krolzig</w:t>
      </w:r>
      <w:proofErr w:type="spellEnd"/>
      <w:r w:rsidRPr="00DC24E0">
        <w:t>, H-M. (1997</w:t>
      </w:r>
      <w:r>
        <w:t>).</w:t>
      </w:r>
      <w:r w:rsidRPr="00DC24E0">
        <w:t xml:space="preserve"> Markov-Switching Vector </w:t>
      </w:r>
      <w:proofErr w:type="spellStart"/>
      <w:r w:rsidRPr="00DC24E0">
        <w:t>Autoregressions</w:t>
      </w:r>
      <w:proofErr w:type="spellEnd"/>
      <w:r w:rsidRPr="00DC24E0">
        <w:t xml:space="preserve"> – Modelling, Statistical Inference and Applications to Business Cycle Analysis, Berlin: Springer-</w:t>
      </w:r>
      <w:proofErr w:type="spellStart"/>
      <w:r w:rsidRPr="00DC24E0">
        <w:t>Verlag</w:t>
      </w:r>
      <w:proofErr w:type="spellEnd"/>
      <w:r w:rsidRPr="00DC24E0">
        <w:t>.</w:t>
      </w:r>
    </w:p>
    <w:p w:rsidR="00816306" w:rsidRPr="00DC24E0" w:rsidRDefault="00816306" w:rsidP="00242D90">
      <w:pPr>
        <w:numPr>
          <w:ilvl w:val="0"/>
          <w:numId w:val="21"/>
        </w:numPr>
        <w:tabs>
          <w:tab w:val="left" w:pos="426"/>
        </w:tabs>
        <w:jc w:val="both"/>
      </w:pPr>
      <w:r w:rsidRPr="00DC24E0">
        <w:t>Kroner, K. F. and Ng, V. K. (1998</w:t>
      </w:r>
      <w:r>
        <w:t>).</w:t>
      </w:r>
      <w:r w:rsidRPr="00DC24E0">
        <w:t xml:space="preserve"> Modeling Asymmetric </w:t>
      </w:r>
      <w:proofErr w:type="spellStart"/>
      <w:r w:rsidRPr="00DC24E0">
        <w:t>Comovements</w:t>
      </w:r>
      <w:proofErr w:type="spellEnd"/>
      <w:r w:rsidRPr="00DC24E0">
        <w:t xml:space="preserve"> of Asset Returns, </w:t>
      </w:r>
      <w:proofErr w:type="gramStart"/>
      <w:r w:rsidRPr="00DC24E0">
        <w:t>The</w:t>
      </w:r>
      <w:proofErr w:type="gramEnd"/>
      <w:r w:rsidRPr="00DC24E0">
        <w:t xml:space="preserve"> Review of Financial Studies, </w:t>
      </w:r>
      <w:r>
        <w:t>11(4),</w:t>
      </w:r>
      <w:r w:rsidRPr="00DC24E0">
        <w:t xml:space="preserve"> 817–844.</w:t>
      </w:r>
    </w:p>
    <w:p w:rsidR="00816306" w:rsidRPr="00DC24E0" w:rsidRDefault="00816306" w:rsidP="00242D90">
      <w:pPr>
        <w:numPr>
          <w:ilvl w:val="0"/>
          <w:numId w:val="21"/>
        </w:numPr>
        <w:tabs>
          <w:tab w:val="left" w:pos="426"/>
        </w:tabs>
        <w:jc w:val="both"/>
      </w:pPr>
      <w:proofErr w:type="spellStart"/>
      <w:r w:rsidRPr="00DC24E0">
        <w:t>Kunovac</w:t>
      </w:r>
      <w:proofErr w:type="spellEnd"/>
      <w:r w:rsidRPr="00DC24E0">
        <w:t>, D. (2011</w:t>
      </w:r>
      <w:r w:rsidR="00C157B9">
        <w:t>)</w:t>
      </w:r>
      <w:r w:rsidRPr="00DC24E0">
        <w:t xml:space="preserve">. </w:t>
      </w:r>
      <w:proofErr w:type="spellStart"/>
      <w:r w:rsidRPr="00DC24E0">
        <w:t>Assymetric</w:t>
      </w:r>
      <w:proofErr w:type="spellEnd"/>
      <w:r w:rsidRPr="00DC24E0">
        <w:t xml:space="preserve"> correlation on the Croatian equity market. Financial Theory and Practice, </w:t>
      </w:r>
      <w:r>
        <w:t>35(1), 1</w:t>
      </w:r>
      <w:r w:rsidRPr="00DC24E0">
        <w:t>–24.</w:t>
      </w:r>
    </w:p>
    <w:p w:rsidR="00816306" w:rsidRPr="00DC24E0" w:rsidRDefault="00816306" w:rsidP="00242D90">
      <w:pPr>
        <w:numPr>
          <w:ilvl w:val="0"/>
          <w:numId w:val="21"/>
        </w:numPr>
        <w:tabs>
          <w:tab w:val="left" w:pos="426"/>
        </w:tabs>
        <w:jc w:val="both"/>
      </w:pPr>
      <w:proofErr w:type="spellStart"/>
      <w:r>
        <w:t>Lamoreux</w:t>
      </w:r>
      <w:proofErr w:type="spellEnd"/>
      <w:r>
        <w:t>, C.G. and</w:t>
      </w:r>
      <w:r w:rsidRPr="00DC24E0">
        <w:t xml:space="preserve"> </w:t>
      </w:r>
      <w:proofErr w:type="spellStart"/>
      <w:r w:rsidRPr="00DC24E0">
        <w:t>Lastrapes</w:t>
      </w:r>
      <w:proofErr w:type="spellEnd"/>
      <w:r w:rsidRPr="00DC24E0">
        <w:t>, W.D. (1990</w:t>
      </w:r>
      <w:r>
        <w:t>).</w:t>
      </w:r>
      <w:r w:rsidRPr="00DC24E0">
        <w:t xml:space="preserve"> Persistence in Variance, Structural Change and the GARCH model, Journal of Business and Economic Statistics, </w:t>
      </w:r>
      <w:r>
        <w:t>5,</w:t>
      </w:r>
      <w:r w:rsidRPr="00DC24E0">
        <w:t xml:space="preserve"> 121–129.</w:t>
      </w:r>
    </w:p>
    <w:p w:rsidR="00816306" w:rsidRPr="00DC24E0" w:rsidRDefault="00816306" w:rsidP="00242D90">
      <w:pPr>
        <w:numPr>
          <w:ilvl w:val="0"/>
          <w:numId w:val="21"/>
        </w:numPr>
        <w:tabs>
          <w:tab w:val="left" w:pos="426"/>
        </w:tabs>
        <w:jc w:val="both"/>
      </w:pPr>
      <w:r w:rsidRPr="00DC24E0">
        <w:t>Lee,</w:t>
      </w:r>
      <w:r>
        <w:t xml:space="preserve"> H-T. </w:t>
      </w:r>
      <w:proofErr w:type="gramStart"/>
      <w:r>
        <w:t>and</w:t>
      </w:r>
      <w:proofErr w:type="gramEnd"/>
      <w:r w:rsidRPr="00DC24E0">
        <w:t xml:space="preserve"> Yoder</w:t>
      </w:r>
      <w:r>
        <w:t xml:space="preserve">, J. K. (2006) </w:t>
      </w:r>
      <w:r w:rsidRPr="00DC24E0">
        <w:t>Optimal hedging</w:t>
      </w:r>
      <w:r>
        <w:t xml:space="preserve"> </w:t>
      </w:r>
      <w:r w:rsidRPr="00DC24E0">
        <w:t xml:space="preserve">with A regime-switching </w:t>
      </w:r>
      <w:r>
        <w:t>t</w:t>
      </w:r>
      <w:r w:rsidRPr="00DC24E0">
        <w:t xml:space="preserve">ime-varying correlation </w:t>
      </w:r>
      <w:r>
        <w:t xml:space="preserve">GARCH model, </w:t>
      </w:r>
      <w:r w:rsidRPr="00DC24E0">
        <w:t xml:space="preserve">The journal of futures markets, </w:t>
      </w:r>
      <w:r>
        <w:t>27(5),</w:t>
      </w:r>
      <w:r w:rsidRPr="00DC24E0">
        <w:t xml:space="preserve"> 495–516</w:t>
      </w:r>
      <w:r>
        <w:t>.</w:t>
      </w:r>
    </w:p>
    <w:p w:rsidR="00816306" w:rsidRPr="00DC24E0" w:rsidRDefault="00816306" w:rsidP="00242D90">
      <w:pPr>
        <w:numPr>
          <w:ilvl w:val="0"/>
          <w:numId w:val="21"/>
        </w:numPr>
        <w:tabs>
          <w:tab w:val="left" w:pos="426"/>
        </w:tabs>
        <w:jc w:val="both"/>
      </w:pPr>
      <w:r w:rsidRPr="00DC24E0">
        <w:t>Lee,</w:t>
      </w:r>
      <w:r>
        <w:t xml:space="preserve"> H-T. and</w:t>
      </w:r>
      <w:r w:rsidRPr="00DC24E0">
        <w:t xml:space="preserve"> Yoder</w:t>
      </w:r>
      <w:r>
        <w:t>, J. K. (2007)</w:t>
      </w:r>
      <w:r w:rsidRPr="00DC24E0">
        <w:t xml:space="preserve"> A bivariate Markov regime switching GARCH approach to estimate time varying</w:t>
      </w:r>
      <w:r>
        <w:t xml:space="preserve"> minimum variance hedge ratios, </w:t>
      </w:r>
      <w:r w:rsidRPr="00DC24E0">
        <w:t>Applied Economics, 39, 1253–1265</w:t>
      </w:r>
      <w:r>
        <w:t>.</w:t>
      </w:r>
    </w:p>
    <w:p w:rsidR="00816306" w:rsidRPr="00DC24E0" w:rsidRDefault="00816306" w:rsidP="00242D90">
      <w:pPr>
        <w:numPr>
          <w:ilvl w:val="0"/>
          <w:numId w:val="21"/>
        </w:numPr>
        <w:tabs>
          <w:tab w:val="left" w:pos="426"/>
        </w:tabs>
        <w:jc w:val="both"/>
      </w:pPr>
      <w:proofErr w:type="spellStart"/>
      <w:r w:rsidRPr="00DC24E0">
        <w:t>Nomikos</w:t>
      </w:r>
      <w:proofErr w:type="spellEnd"/>
      <w:r w:rsidRPr="00DC24E0">
        <w:t xml:space="preserve"> N, </w:t>
      </w:r>
      <w:proofErr w:type="spellStart"/>
      <w:r w:rsidRPr="00DC24E0">
        <w:t>Alizadeh</w:t>
      </w:r>
      <w:proofErr w:type="spellEnd"/>
      <w:r w:rsidRPr="00DC24E0">
        <w:t xml:space="preserve"> A. H.</w:t>
      </w:r>
      <w:r>
        <w:t xml:space="preserve"> and</w:t>
      </w:r>
      <w:r w:rsidRPr="00DC24E0">
        <w:t xml:space="preserve"> </w:t>
      </w:r>
      <w:proofErr w:type="spellStart"/>
      <w:r w:rsidRPr="00DC24E0">
        <w:t>Pouliasis</w:t>
      </w:r>
      <w:proofErr w:type="spellEnd"/>
      <w:r>
        <w:t>,</w:t>
      </w:r>
      <w:r w:rsidRPr="00DC24E0">
        <w:t xml:space="preserve"> P. K. (2008</w:t>
      </w:r>
      <w:r>
        <w:t xml:space="preserve">). </w:t>
      </w:r>
      <w:r w:rsidRPr="00DC24E0">
        <w:t>A Markov regime switching approach</w:t>
      </w:r>
      <w:r>
        <w:t xml:space="preserve"> for hedging energy commodities</w:t>
      </w:r>
      <w:r w:rsidRPr="00DC24E0">
        <w:t>, Journal of Banking and Finance, 32(9</w:t>
      </w:r>
      <w:r>
        <w:t xml:space="preserve">), </w:t>
      </w:r>
      <w:r w:rsidRPr="00DC24E0">
        <w:t>1970–1983.</w:t>
      </w:r>
    </w:p>
    <w:p w:rsidR="00816306" w:rsidRPr="00DC24E0" w:rsidRDefault="00816306" w:rsidP="00242D90">
      <w:pPr>
        <w:numPr>
          <w:ilvl w:val="0"/>
          <w:numId w:val="21"/>
        </w:numPr>
        <w:tabs>
          <w:tab w:val="left" w:pos="426"/>
        </w:tabs>
        <w:jc w:val="both"/>
      </w:pPr>
      <w:r w:rsidRPr="00DC24E0">
        <w:t>Otranto</w:t>
      </w:r>
      <w:r>
        <w:t>, E. (2010).</w:t>
      </w:r>
      <w:r w:rsidRPr="00DC24E0">
        <w:t xml:space="preserve"> Asset allocation using flexible dynamic correlati</w:t>
      </w:r>
      <w:r>
        <w:t xml:space="preserve">on models with regime switching, </w:t>
      </w:r>
      <w:r w:rsidRPr="00DC24E0">
        <w:t xml:space="preserve">Quantitative Finance, </w:t>
      </w:r>
      <w:r>
        <w:t xml:space="preserve">10(3), </w:t>
      </w:r>
      <w:r w:rsidRPr="00DC24E0">
        <w:t>325–338</w:t>
      </w:r>
      <w:r>
        <w:t>.</w:t>
      </w:r>
    </w:p>
    <w:p w:rsidR="00816306" w:rsidRPr="00DC24E0" w:rsidRDefault="00816306" w:rsidP="00242D90">
      <w:pPr>
        <w:numPr>
          <w:ilvl w:val="0"/>
          <w:numId w:val="21"/>
        </w:numPr>
        <w:tabs>
          <w:tab w:val="left" w:pos="426"/>
        </w:tabs>
        <w:jc w:val="both"/>
      </w:pPr>
      <w:r w:rsidRPr="00DC24E0">
        <w:t>Pelletier, D. (2002</w:t>
      </w:r>
      <w:r>
        <w:t>).</w:t>
      </w:r>
      <w:r w:rsidRPr="00DC24E0">
        <w:t xml:space="preserve"> Regime switching for dynamic correlations, </w:t>
      </w:r>
      <w:proofErr w:type="gramStart"/>
      <w:r>
        <w:t>W</w:t>
      </w:r>
      <w:r w:rsidRPr="00DC24E0">
        <w:t>orking</w:t>
      </w:r>
      <w:proofErr w:type="gramEnd"/>
      <w:r w:rsidRPr="00DC24E0">
        <w:t xml:space="preserve"> paper</w:t>
      </w:r>
      <w:r>
        <w:t>.</w:t>
      </w:r>
    </w:p>
    <w:p w:rsidR="00816306" w:rsidRPr="00DC24E0" w:rsidRDefault="00816306" w:rsidP="00242D90">
      <w:pPr>
        <w:numPr>
          <w:ilvl w:val="0"/>
          <w:numId w:val="21"/>
        </w:numPr>
        <w:tabs>
          <w:tab w:val="left" w:pos="426"/>
        </w:tabs>
        <w:jc w:val="both"/>
      </w:pPr>
      <w:proofErr w:type="spellStart"/>
      <w:r w:rsidRPr="00DC24E0">
        <w:t>Ramchand</w:t>
      </w:r>
      <w:proofErr w:type="spellEnd"/>
      <w:r w:rsidRPr="00DC24E0">
        <w:t xml:space="preserve">, L., and R. </w:t>
      </w:r>
      <w:proofErr w:type="spellStart"/>
      <w:r w:rsidRPr="00DC24E0">
        <w:t>Susmel</w:t>
      </w:r>
      <w:proofErr w:type="spellEnd"/>
      <w:r w:rsidRPr="00DC24E0">
        <w:t xml:space="preserve">, </w:t>
      </w:r>
      <w:r>
        <w:t>(</w:t>
      </w:r>
      <w:r w:rsidRPr="00DC24E0">
        <w:t>1998</w:t>
      </w:r>
      <w:r>
        <w:t xml:space="preserve">). </w:t>
      </w:r>
      <w:r w:rsidRPr="00DC24E0">
        <w:t>Cross Correlations Acro</w:t>
      </w:r>
      <w:r>
        <w:t>ss Major International Markets,</w:t>
      </w:r>
      <w:r w:rsidRPr="00DC24E0">
        <w:t xml:space="preserve"> Journal of Empirical Finance, 5, 397–416.</w:t>
      </w:r>
    </w:p>
    <w:p w:rsidR="00816306" w:rsidRPr="00DC24E0" w:rsidRDefault="00816306" w:rsidP="00242D90">
      <w:pPr>
        <w:numPr>
          <w:ilvl w:val="0"/>
          <w:numId w:val="21"/>
        </w:numPr>
        <w:tabs>
          <w:tab w:val="left" w:pos="426"/>
        </w:tabs>
        <w:jc w:val="both"/>
      </w:pPr>
      <w:proofErr w:type="spellStart"/>
      <w:r w:rsidRPr="00DC24E0">
        <w:t>Sheu</w:t>
      </w:r>
      <w:proofErr w:type="spellEnd"/>
      <w:r w:rsidRPr="00DC24E0">
        <w:t xml:space="preserve">, </w:t>
      </w:r>
      <w:r>
        <w:t xml:space="preserve">H. J. and </w:t>
      </w:r>
      <w:r w:rsidRPr="00DC24E0">
        <w:t>Lee</w:t>
      </w:r>
      <w:r>
        <w:t>, H-T. (2012)</w:t>
      </w:r>
      <w:r w:rsidRPr="00DC24E0">
        <w:t xml:space="preserve"> </w:t>
      </w:r>
      <w:proofErr w:type="gramStart"/>
      <w:r w:rsidRPr="00DC24E0">
        <w:t>Optimal</w:t>
      </w:r>
      <w:proofErr w:type="gramEnd"/>
      <w:r w:rsidRPr="00DC24E0">
        <w:t xml:space="preserve"> futures hedging under </w:t>
      </w:r>
      <w:proofErr w:type="spellStart"/>
      <w:r w:rsidRPr="00DC24E0">
        <w:t>Mul</w:t>
      </w:r>
      <w:r>
        <w:t>tichain</w:t>
      </w:r>
      <w:proofErr w:type="spellEnd"/>
      <w:r>
        <w:t xml:space="preserve"> </w:t>
      </w:r>
      <w:proofErr w:type="spellStart"/>
      <w:r>
        <w:t>markov</w:t>
      </w:r>
      <w:proofErr w:type="spellEnd"/>
      <w:r>
        <w:t xml:space="preserve"> regime switching, </w:t>
      </w:r>
      <w:r w:rsidRPr="00DC24E0">
        <w:t xml:space="preserve">The journal of futures markets, </w:t>
      </w:r>
      <w:r>
        <w:t>34(2), 173–202.</w:t>
      </w:r>
    </w:p>
    <w:p w:rsidR="00816306" w:rsidRDefault="00816306" w:rsidP="00242D90">
      <w:pPr>
        <w:numPr>
          <w:ilvl w:val="0"/>
          <w:numId w:val="21"/>
        </w:numPr>
        <w:tabs>
          <w:tab w:val="left" w:pos="426"/>
        </w:tabs>
        <w:jc w:val="both"/>
      </w:pPr>
      <w:proofErr w:type="spellStart"/>
      <w:r w:rsidRPr="00DC24E0">
        <w:t>Sheu</w:t>
      </w:r>
      <w:proofErr w:type="spellEnd"/>
      <w:r w:rsidRPr="00DC24E0">
        <w:t xml:space="preserve">, </w:t>
      </w:r>
      <w:r>
        <w:t xml:space="preserve">H. J., </w:t>
      </w:r>
      <w:r w:rsidRPr="00DC24E0">
        <w:t>Lee</w:t>
      </w:r>
      <w:r>
        <w:t xml:space="preserve">, H-T. </w:t>
      </w:r>
      <w:proofErr w:type="gramStart"/>
      <w:r>
        <w:t>and</w:t>
      </w:r>
      <w:proofErr w:type="gramEnd"/>
      <w:r>
        <w:t xml:space="preserve"> Lai, Y-S. (2013)</w:t>
      </w:r>
      <w:r w:rsidRPr="00DC24E0">
        <w:t xml:space="preserve"> A Markov Regime Switching GARCH Model with Realized Measures of Volatility for Optimal</w:t>
      </w:r>
      <w:r>
        <w:t xml:space="preserve"> Futures Hedging, </w:t>
      </w:r>
      <w:r w:rsidRPr="00DC24E0">
        <w:t xml:space="preserve">European Financial Management </w:t>
      </w:r>
      <w:proofErr w:type="gramStart"/>
      <w:r w:rsidRPr="00DC24E0">
        <w:t>Association  2013</w:t>
      </w:r>
      <w:proofErr w:type="gramEnd"/>
      <w:r w:rsidRPr="00DC24E0">
        <w:t xml:space="preserve"> annual meeting</w:t>
      </w:r>
      <w:r>
        <w:t xml:space="preserve"> paper.</w:t>
      </w:r>
      <w:r w:rsidRPr="00DC24E0">
        <w:t xml:space="preserve"> </w:t>
      </w:r>
    </w:p>
    <w:p w:rsidR="00816306" w:rsidRPr="00DC24E0" w:rsidRDefault="00816306" w:rsidP="00242D90">
      <w:pPr>
        <w:numPr>
          <w:ilvl w:val="0"/>
          <w:numId w:val="21"/>
        </w:numPr>
        <w:tabs>
          <w:tab w:val="left" w:pos="426"/>
        </w:tabs>
        <w:jc w:val="both"/>
      </w:pPr>
      <w:r w:rsidRPr="00DC24E0">
        <w:lastRenderedPageBreak/>
        <w:t>Škrinjarić, T. (2015</w:t>
      </w:r>
      <w:r>
        <w:t>).</w:t>
      </w:r>
      <w:r w:rsidRPr="00DC24E0">
        <w:t xml:space="preserve"> Testing for regime-switching CAPM on Zagreb Stock Exchange, </w:t>
      </w:r>
      <w:r>
        <w:t>Croatian Operational Research Review, 5(2), 119–133.</w:t>
      </w:r>
    </w:p>
    <w:p w:rsidR="00816306" w:rsidRPr="00DC24E0" w:rsidRDefault="00816306" w:rsidP="00242D90">
      <w:pPr>
        <w:numPr>
          <w:ilvl w:val="0"/>
          <w:numId w:val="21"/>
        </w:numPr>
        <w:tabs>
          <w:tab w:val="left" w:pos="426"/>
        </w:tabs>
        <w:jc w:val="both"/>
      </w:pPr>
      <w:proofErr w:type="spellStart"/>
      <w:r>
        <w:t>Teräsvirta</w:t>
      </w:r>
      <w:proofErr w:type="spellEnd"/>
      <w:r>
        <w:t xml:space="preserve">, T., </w:t>
      </w:r>
      <w:proofErr w:type="spellStart"/>
      <w:r>
        <w:t>Tjøstheim</w:t>
      </w:r>
      <w:proofErr w:type="spellEnd"/>
      <w:r>
        <w:t xml:space="preserve">, D. and </w:t>
      </w:r>
      <w:r w:rsidRPr="00DC24E0">
        <w:t>Granger, C. W. J. (2010</w:t>
      </w:r>
      <w:r>
        <w:t>).</w:t>
      </w:r>
      <w:r w:rsidRPr="00DC24E0">
        <w:t xml:space="preserve"> Modelling nonlinear economic time series, New York: Oxford University Press, Inc.</w:t>
      </w:r>
    </w:p>
    <w:p w:rsidR="00816306" w:rsidRPr="00DC24E0" w:rsidRDefault="00816306" w:rsidP="00242D90">
      <w:pPr>
        <w:numPr>
          <w:ilvl w:val="0"/>
          <w:numId w:val="21"/>
        </w:numPr>
        <w:tabs>
          <w:tab w:val="left" w:pos="426"/>
        </w:tabs>
        <w:jc w:val="both"/>
      </w:pPr>
      <w:proofErr w:type="spellStart"/>
      <w:r w:rsidRPr="00DC24E0">
        <w:t>Visković</w:t>
      </w:r>
      <w:proofErr w:type="spellEnd"/>
      <w:r w:rsidRPr="00DC24E0">
        <w:t xml:space="preserve">, J., </w:t>
      </w:r>
      <w:proofErr w:type="spellStart"/>
      <w:r w:rsidRPr="00DC24E0">
        <w:t>Arnerić</w:t>
      </w:r>
      <w:proofErr w:type="spellEnd"/>
      <w:r w:rsidRPr="00DC24E0">
        <w:t>, J.</w:t>
      </w:r>
      <w:r>
        <w:t xml:space="preserve"> and</w:t>
      </w:r>
      <w:r w:rsidRPr="00DC24E0">
        <w:t xml:space="preserve"> </w:t>
      </w:r>
      <w:proofErr w:type="spellStart"/>
      <w:r w:rsidRPr="00DC24E0">
        <w:t>Rozga</w:t>
      </w:r>
      <w:proofErr w:type="spellEnd"/>
      <w:r w:rsidRPr="00DC24E0">
        <w:t>, A. (2014</w:t>
      </w:r>
      <w:r>
        <w:t>).</w:t>
      </w:r>
      <w:r w:rsidRPr="00DC24E0">
        <w:t xml:space="preserve"> Volatility Switching between Two Regimes</w:t>
      </w:r>
      <w:r>
        <w:t>,</w:t>
      </w:r>
      <w:r w:rsidRPr="00DC24E0">
        <w:t xml:space="preserve"> International Journal of Social, Human Science and Engineering, </w:t>
      </w:r>
      <w:r>
        <w:t>8(3),</w:t>
      </w:r>
      <w:r w:rsidRPr="00DC24E0">
        <w:t xml:space="preserve"> 62</w:t>
      </w:r>
      <w:r>
        <w:t>–</w:t>
      </w:r>
      <w:r w:rsidRPr="00DC24E0">
        <w:t>66.</w:t>
      </w:r>
    </w:p>
    <w:p w:rsidR="00816306" w:rsidRPr="00DC24E0" w:rsidRDefault="00816306" w:rsidP="00242D90">
      <w:pPr>
        <w:numPr>
          <w:ilvl w:val="0"/>
          <w:numId w:val="21"/>
        </w:numPr>
        <w:tabs>
          <w:tab w:val="left" w:pos="426"/>
        </w:tabs>
        <w:jc w:val="both"/>
      </w:pPr>
      <w:r w:rsidRPr="00DC24E0">
        <w:t>Zagreb Stock Exchange (2016</w:t>
      </w:r>
      <w:r>
        <w:t>).</w:t>
      </w:r>
      <w:r w:rsidRPr="00DC24E0">
        <w:t xml:space="preserve"> http://www.zse.hr </w:t>
      </w:r>
      <w:r>
        <w:t>[Accessed 15/5/16].</w:t>
      </w:r>
    </w:p>
    <w:sectPr w:rsidR="00816306" w:rsidRPr="00DC24E0" w:rsidSect="003D1D07">
      <w:headerReference w:type="even" r:id="rId91"/>
      <w:headerReference w:type="default" r:id="rId92"/>
      <w:headerReference w:type="first" r:id="rId93"/>
      <w:footerReference w:type="first" r:id="rId94"/>
      <w:pgSz w:w="11906" w:h="16838"/>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624" w:rsidRDefault="00F01624">
      <w:r>
        <w:separator/>
      </w:r>
    </w:p>
  </w:endnote>
  <w:endnote w:type="continuationSeparator" w:id="0">
    <w:p w:rsidR="00F01624" w:rsidRDefault="00F01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E0" w:rsidRPr="00FE7BC6" w:rsidRDefault="00DC24E0" w:rsidP="006C0348">
    <w:pPr>
      <w:pStyle w:val="Podnoje"/>
      <w:ind w:right="360"/>
      <w:rPr>
        <w:sz w:val="18"/>
        <w:szCs w:val="18"/>
      </w:rPr>
    </w:pPr>
    <w:r w:rsidRPr="006C0348">
      <w:rPr>
        <w:sz w:val="18"/>
        <w:szCs w:val="18"/>
        <w:lang w:val="hr-HR" w:eastAsia="hr-HR"/>
      </w:rPr>
      <w:t>http://www.hdoi.hr/crorr-journal</w:t>
    </w:r>
    <w:r>
      <w:rPr>
        <w:sz w:val="18"/>
        <w:szCs w:val="18"/>
        <w:lang w:val="hr-HR" w:eastAsia="hr-HR"/>
      </w:rPr>
      <w:t xml:space="preserve">                                                                  </w:t>
    </w:r>
    <w:r w:rsidRPr="00FE7BC6">
      <w:rPr>
        <w:sz w:val="18"/>
        <w:szCs w:val="18"/>
        <w:lang w:val="hr-HR" w:eastAsia="hr-HR"/>
      </w:rPr>
      <w:t xml:space="preserve">©201x </w:t>
    </w:r>
    <w:proofErr w:type="spellStart"/>
    <w:r w:rsidRPr="00FE7BC6">
      <w:rPr>
        <w:sz w:val="18"/>
        <w:szCs w:val="18"/>
        <w:lang w:val="hr-HR" w:eastAsia="hr-HR"/>
      </w:rPr>
      <w:t>Croatian</w:t>
    </w:r>
    <w:proofErr w:type="spellEnd"/>
    <w:r w:rsidRPr="00FE7BC6">
      <w:rPr>
        <w:sz w:val="18"/>
        <w:szCs w:val="18"/>
        <w:lang w:val="hr-HR" w:eastAsia="hr-HR"/>
      </w:rPr>
      <w:t xml:space="preserve"> </w:t>
    </w:r>
    <w:proofErr w:type="spellStart"/>
    <w:r w:rsidRPr="00FE7BC6">
      <w:rPr>
        <w:sz w:val="18"/>
        <w:szCs w:val="18"/>
        <w:lang w:val="hr-HR" w:eastAsia="hr-HR"/>
      </w:rPr>
      <w:t>Operational</w:t>
    </w:r>
    <w:proofErr w:type="spellEnd"/>
    <w:r w:rsidRPr="00FE7BC6">
      <w:rPr>
        <w:sz w:val="18"/>
        <w:szCs w:val="18"/>
        <w:lang w:val="hr-HR" w:eastAsia="hr-HR"/>
      </w:rPr>
      <w:t xml:space="preserve"> </w:t>
    </w:r>
    <w:proofErr w:type="spellStart"/>
    <w:r w:rsidRPr="00FE7BC6">
      <w:rPr>
        <w:sz w:val="18"/>
        <w:szCs w:val="18"/>
        <w:lang w:val="hr-HR" w:eastAsia="hr-HR"/>
      </w:rPr>
      <w:t>Research</w:t>
    </w:r>
    <w:proofErr w:type="spellEnd"/>
    <w:r w:rsidRPr="00FE7BC6">
      <w:rPr>
        <w:sz w:val="18"/>
        <w:szCs w:val="18"/>
        <w:lang w:val="hr-HR" w:eastAsia="hr-HR"/>
      </w:rPr>
      <w:t xml:space="preserve"> </w:t>
    </w:r>
    <w:proofErr w:type="spellStart"/>
    <w:r w:rsidRPr="00FE7BC6">
      <w:rPr>
        <w:sz w:val="18"/>
        <w:szCs w:val="18"/>
        <w:lang w:val="hr-HR" w:eastAsia="hr-HR"/>
      </w:rPr>
      <w:t>Society</w:t>
    </w:r>
    <w:proofErr w:type="spellEnd"/>
  </w:p>
  <w:p w:rsidR="00DC24E0" w:rsidRDefault="00DC24E0">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624" w:rsidRDefault="00F01624">
      <w:r>
        <w:separator/>
      </w:r>
    </w:p>
  </w:footnote>
  <w:footnote w:type="continuationSeparator" w:id="0">
    <w:p w:rsidR="00F01624" w:rsidRDefault="00F01624">
      <w:r>
        <w:continuationSeparator/>
      </w:r>
    </w:p>
  </w:footnote>
  <w:footnote w:id="1">
    <w:p w:rsidR="00DC24E0" w:rsidRPr="004A4890" w:rsidRDefault="00DC24E0" w:rsidP="00077CF1">
      <w:pPr>
        <w:pStyle w:val="Tekstfusnote"/>
        <w:jc w:val="both"/>
      </w:pPr>
      <w:r w:rsidRPr="004A4890">
        <w:rPr>
          <w:rStyle w:val="Referencafusnote"/>
        </w:rPr>
        <w:footnoteRef/>
      </w:r>
      <w:r w:rsidRPr="004A4890">
        <w:t xml:space="preserve"> Corresponding author</w:t>
      </w:r>
    </w:p>
  </w:footnote>
  <w:footnote w:id="2">
    <w:p w:rsidR="00DC24E0" w:rsidRPr="004A4890" w:rsidRDefault="00DC24E0" w:rsidP="00077CF1">
      <w:pPr>
        <w:pStyle w:val="Tekstfusnote"/>
        <w:jc w:val="both"/>
      </w:pPr>
      <w:r w:rsidRPr="004A4890">
        <w:rPr>
          <w:rStyle w:val="Referencafusnote"/>
        </w:rPr>
        <w:footnoteRef/>
      </w:r>
      <w:r w:rsidRPr="004A4890">
        <w:t xml:space="preserve"> Such as asymmetric behavior, outliers, volatility clustering, etc.</w:t>
      </w:r>
    </w:p>
  </w:footnote>
  <w:footnote w:id="3">
    <w:p w:rsidR="00DC24E0" w:rsidRPr="00A52CE0" w:rsidRDefault="00DC24E0">
      <w:pPr>
        <w:pStyle w:val="Tekstfusnote"/>
        <w:rPr>
          <w:lang w:val="hr-HR"/>
        </w:rPr>
      </w:pPr>
      <w:r>
        <w:rPr>
          <w:rStyle w:val="Referencafusnote"/>
        </w:rPr>
        <w:footnoteRef/>
      </w:r>
      <w:r>
        <w:t xml:space="preserve"> </w:t>
      </w:r>
      <w:proofErr w:type="spellStart"/>
      <w:r>
        <w:rPr>
          <w:lang w:val="hr-HR"/>
        </w:rPr>
        <w:t>Multivariate</w:t>
      </w:r>
      <w:proofErr w:type="spellEnd"/>
      <w:r>
        <w:rPr>
          <w:lang w:val="hr-HR"/>
        </w:rPr>
        <w:t xml:space="preserve"> </w:t>
      </w:r>
      <w:proofErr w:type="spellStart"/>
      <w:r>
        <w:rPr>
          <w:lang w:val="hr-HR"/>
        </w:rPr>
        <w:t>Generalized</w:t>
      </w:r>
      <w:proofErr w:type="spellEnd"/>
      <w:r>
        <w:rPr>
          <w:lang w:val="hr-HR"/>
        </w:rPr>
        <w:t xml:space="preserve"> </w:t>
      </w:r>
      <w:proofErr w:type="spellStart"/>
      <w:r>
        <w:rPr>
          <w:lang w:val="hr-HR"/>
        </w:rPr>
        <w:t>Autoregressive</w:t>
      </w:r>
      <w:proofErr w:type="spellEnd"/>
      <w:r>
        <w:rPr>
          <w:lang w:val="hr-HR"/>
        </w:rPr>
        <w:t xml:space="preserve"> </w:t>
      </w:r>
      <w:proofErr w:type="spellStart"/>
      <w:r>
        <w:rPr>
          <w:lang w:val="hr-HR"/>
        </w:rPr>
        <w:t>Conditional</w:t>
      </w:r>
      <w:proofErr w:type="spellEnd"/>
      <w:r>
        <w:rPr>
          <w:lang w:val="hr-HR"/>
        </w:rPr>
        <w:t xml:space="preserve"> Heteroskedasticity.</w:t>
      </w:r>
    </w:p>
  </w:footnote>
  <w:footnote w:id="4">
    <w:p w:rsidR="00DC24E0" w:rsidRPr="004A4890" w:rsidRDefault="00DC24E0" w:rsidP="004A4890">
      <w:pPr>
        <w:pStyle w:val="Tekstfusnote"/>
        <w:jc w:val="both"/>
      </w:pPr>
      <w:r w:rsidRPr="004A4890">
        <w:rPr>
          <w:rStyle w:val="Referencafusnote"/>
        </w:rPr>
        <w:footnoteRef/>
      </w:r>
      <w:r w:rsidRPr="004A4890">
        <w:t xml:space="preserve"> Results from stationarity tests and ARMA modeling have been omitted due to lack of space but are available upon request. Appro</w:t>
      </w:r>
      <w:r>
        <w:t xml:space="preserve">priate ARMA model was chosen based upon BIC, AIC and HQ information criteria, as well as on statistical significance of estimated parameters. </w:t>
      </w:r>
    </w:p>
  </w:footnote>
  <w:footnote w:id="5">
    <w:p w:rsidR="00DC24E0" w:rsidRPr="00A93D96" w:rsidRDefault="00DC24E0">
      <w:pPr>
        <w:pStyle w:val="Tekstfusnote"/>
        <w:rPr>
          <w:lang w:val="hr-HR"/>
        </w:rPr>
      </w:pPr>
      <w:r>
        <w:rPr>
          <w:rStyle w:val="Referencafusnote"/>
        </w:rPr>
        <w:footnoteRef/>
      </w:r>
      <w:r>
        <w:t xml:space="preserve"> </w:t>
      </w:r>
      <w:r>
        <w:rPr>
          <w:lang w:eastAsia="hr-HR"/>
        </w:rPr>
        <w:t>We omit the full details, but they are available upon request.</w:t>
      </w:r>
    </w:p>
  </w:footnote>
  <w:footnote w:id="6">
    <w:p w:rsidR="00DC24E0" w:rsidRPr="00363104" w:rsidRDefault="00DC24E0">
      <w:pPr>
        <w:pStyle w:val="Tekstfusnote"/>
        <w:rPr>
          <w:lang w:val="hr-HR"/>
        </w:rPr>
      </w:pPr>
      <w:r>
        <w:rPr>
          <w:rStyle w:val="Referencafusnote"/>
        </w:rPr>
        <w:footnoteRef/>
      </w:r>
      <w:r>
        <w:t xml:space="preserve"> </w:t>
      </w:r>
      <w:r>
        <w:rPr>
          <w:lang w:val="hr-HR"/>
        </w:rPr>
        <w:t xml:space="preserve">The </w:t>
      </w:r>
      <w:proofErr w:type="spellStart"/>
      <w:r>
        <w:rPr>
          <w:lang w:val="hr-HR"/>
        </w:rPr>
        <w:t>returns</w:t>
      </w:r>
      <w:proofErr w:type="spellEnd"/>
      <w:r>
        <w:rPr>
          <w:lang w:val="hr-HR"/>
        </w:rPr>
        <w:t xml:space="preserve"> are </w:t>
      </w:r>
      <w:proofErr w:type="spellStart"/>
      <w:r>
        <w:rPr>
          <w:lang w:val="hr-HR"/>
        </w:rPr>
        <w:t>standardized</w:t>
      </w:r>
      <w:proofErr w:type="spellEnd"/>
      <w:r>
        <w:rPr>
          <w:lang w:val="hr-HR"/>
        </w:rPr>
        <w:t xml:space="preserve"> </w:t>
      </w:r>
      <w:proofErr w:type="spellStart"/>
      <w:r>
        <w:rPr>
          <w:lang w:val="hr-HR"/>
        </w:rPr>
        <w:t>in</w:t>
      </w:r>
      <w:proofErr w:type="spellEnd"/>
      <w:r>
        <w:rPr>
          <w:lang w:val="hr-HR"/>
        </w:rPr>
        <w:t xml:space="preserve"> </w:t>
      </w:r>
      <w:proofErr w:type="spellStart"/>
      <w:r>
        <w:rPr>
          <w:lang w:val="hr-HR"/>
        </w:rPr>
        <w:t>order</w:t>
      </w:r>
      <w:proofErr w:type="spellEnd"/>
      <w:r>
        <w:rPr>
          <w:lang w:val="hr-HR"/>
        </w:rPr>
        <w:t xml:space="preserve"> to </w:t>
      </w:r>
      <w:proofErr w:type="spellStart"/>
      <w:r>
        <w:rPr>
          <w:lang w:val="hr-HR"/>
        </w:rPr>
        <w:t>take</w:t>
      </w:r>
      <w:proofErr w:type="spellEnd"/>
      <w:r>
        <w:rPr>
          <w:lang w:val="hr-HR"/>
        </w:rPr>
        <w:t xml:space="preserve"> </w:t>
      </w:r>
      <w:proofErr w:type="spellStart"/>
      <w:r>
        <w:rPr>
          <w:lang w:val="hr-HR"/>
        </w:rPr>
        <w:t>into</w:t>
      </w:r>
      <w:proofErr w:type="spellEnd"/>
      <w:r>
        <w:rPr>
          <w:lang w:val="hr-HR"/>
        </w:rPr>
        <w:t xml:space="preserve"> </w:t>
      </w:r>
      <w:proofErr w:type="spellStart"/>
      <w:r>
        <w:rPr>
          <w:lang w:val="hr-HR"/>
        </w:rPr>
        <w:t>consideration</w:t>
      </w:r>
      <w:proofErr w:type="spellEnd"/>
      <w:r>
        <w:rPr>
          <w:lang w:val="hr-HR"/>
        </w:rPr>
        <w:t xml:space="preserve"> </w:t>
      </w:r>
      <w:proofErr w:type="spellStart"/>
      <w:r>
        <w:rPr>
          <w:lang w:val="hr-HR"/>
        </w:rPr>
        <w:t>both</w:t>
      </w:r>
      <w:proofErr w:type="spellEnd"/>
      <w:r>
        <w:rPr>
          <w:lang w:val="hr-HR"/>
        </w:rPr>
        <w:t xml:space="preserve"> </w:t>
      </w:r>
      <w:proofErr w:type="spellStart"/>
      <w:r>
        <w:rPr>
          <w:lang w:val="hr-HR"/>
        </w:rPr>
        <w:t>risk</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return</w:t>
      </w:r>
      <w:proofErr w:type="spellEnd"/>
      <w:r>
        <w:rPr>
          <w:lang w:val="hr-H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E0" w:rsidRPr="005273B2" w:rsidRDefault="00DC24E0" w:rsidP="003D1D07">
    <w:pPr>
      <w:pStyle w:val="Zaglavlje"/>
      <w:jc w:val="center"/>
      <w:rPr>
        <w:sz w:val="18"/>
        <w:szCs w:val="18"/>
      </w:rPr>
    </w:pPr>
    <w:r>
      <w:rPr>
        <w:sz w:val="18"/>
        <w:szCs w:val="18"/>
      </w:rPr>
      <w:t xml:space="preserve">Tihana Škrinjarić and </w:t>
    </w:r>
    <w:proofErr w:type="spellStart"/>
    <w:r>
      <w:rPr>
        <w:sz w:val="18"/>
        <w:szCs w:val="18"/>
      </w:rPr>
      <w:t>Boško</w:t>
    </w:r>
    <w:proofErr w:type="spellEnd"/>
    <w:r>
      <w:rPr>
        <w:sz w:val="18"/>
        <w:szCs w:val="18"/>
      </w:rPr>
      <w:t xml:space="preserve"> </w:t>
    </w:r>
    <w:proofErr w:type="spellStart"/>
    <w:r>
      <w:rPr>
        <w:sz w:val="18"/>
        <w:szCs w:val="18"/>
      </w:rPr>
      <w:t>Šego</w:t>
    </w:r>
    <w:proofErr w:type="spellEnd"/>
  </w:p>
  <w:p w:rsidR="00DC24E0" w:rsidRPr="005273B2" w:rsidRDefault="00DC24E0" w:rsidP="005273B2">
    <w:pPr>
      <w:pStyle w:val="Zaglavlje"/>
      <w:rPr>
        <w:noProof/>
      </w:rPr>
    </w:pPr>
    <w:fldSimple w:instr=" PAGE   \* MERGEFORMAT ">
      <w:r w:rsidR="0064088C">
        <w:rPr>
          <w:noProof/>
        </w:rPr>
        <w:t>10</w:t>
      </w:r>
    </w:fldSimple>
  </w:p>
  <w:p w:rsidR="00DC24E0" w:rsidRDefault="00DC24E0" w:rsidP="005273B2">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E0" w:rsidRPr="005273B2" w:rsidRDefault="00DC24E0" w:rsidP="00AB7296">
    <w:pPr>
      <w:pStyle w:val="Zaglavlje"/>
      <w:jc w:val="center"/>
    </w:pPr>
    <w:r>
      <w:rPr>
        <w:sz w:val="18"/>
        <w:szCs w:val="18"/>
      </w:rPr>
      <w:tab/>
    </w:r>
    <w:r w:rsidRPr="00AB7296">
      <w:rPr>
        <w:sz w:val="18"/>
        <w:szCs w:val="18"/>
      </w:rPr>
      <w:t>Asset allocation and regime switching on Croatian financial market</w:t>
    </w:r>
    <w:r>
      <w:rPr>
        <w:sz w:val="18"/>
        <w:szCs w:val="18"/>
      </w:rPr>
      <w:tab/>
    </w:r>
    <w:fldSimple w:instr=" PAGE   \* MERGEFORMAT ">
      <w:r w:rsidR="0064088C">
        <w:rPr>
          <w:noProof/>
        </w:rPr>
        <w:t>11</w:t>
      </w:r>
    </w:fldSimple>
  </w:p>
  <w:p w:rsidR="00DC24E0" w:rsidRDefault="00DC24E0">
    <w:pPr>
      <w:pStyle w:val="Zaglavlj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E0" w:rsidRPr="0041497A" w:rsidRDefault="00DC24E0" w:rsidP="006C0348">
    <w:pPr>
      <w:pStyle w:val="Zaglavlje"/>
      <w:rPr>
        <w:sz w:val="20"/>
        <w:szCs w:val="20"/>
      </w:rPr>
    </w:pPr>
    <w:r w:rsidRPr="0041497A">
      <w:rPr>
        <w:sz w:val="20"/>
        <w:szCs w:val="20"/>
      </w:rPr>
      <w:t>Croatian Operational Research Review</w:t>
    </w:r>
  </w:p>
  <w:p w:rsidR="00DC24E0" w:rsidRPr="0041497A" w:rsidRDefault="00DC24E0" w:rsidP="006C0348">
    <w:pPr>
      <w:pStyle w:val="Zaglavlje"/>
      <w:rPr>
        <w:sz w:val="20"/>
        <w:szCs w:val="20"/>
      </w:rPr>
    </w:pPr>
    <w:r w:rsidRPr="0041497A">
      <w:rPr>
        <w:sz w:val="20"/>
        <w:szCs w:val="20"/>
      </w:rPr>
      <w:t>CRORR x (201x)</w:t>
    </w:r>
    <w:r>
      <w:rPr>
        <w:sz w:val="20"/>
        <w:szCs w:val="20"/>
      </w:rPr>
      <w:t>, 1-5</w:t>
    </w:r>
  </w:p>
  <w:p w:rsidR="00DC24E0" w:rsidRDefault="00DC24E0">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F46"/>
    <w:multiLevelType w:val="multilevel"/>
    <w:tmpl w:val="2B188482"/>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2033"/>
        </w:tabs>
        <w:ind w:left="2033" w:hanging="600"/>
      </w:pPr>
      <w:rPr>
        <w:rFonts w:hint="default"/>
      </w:rPr>
    </w:lvl>
    <w:lvl w:ilvl="2">
      <w:start w:val="1"/>
      <w:numFmt w:val="decimal"/>
      <w:lvlText w:val="%1.%2.%3."/>
      <w:lvlJc w:val="left"/>
      <w:pPr>
        <w:tabs>
          <w:tab w:val="num" w:pos="3586"/>
        </w:tabs>
        <w:ind w:left="3586" w:hanging="720"/>
      </w:pPr>
      <w:rPr>
        <w:rFonts w:hint="default"/>
      </w:rPr>
    </w:lvl>
    <w:lvl w:ilvl="3">
      <w:start w:val="1"/>
      <w:numFmt w:val="decimal"/>
      <w:lvlText w:val="%1.%2.%3.%4."/>
      <w:lvlJc w:val="left"/>
      <w:pPr>
        <w:tabs>
          <w:tab w:val="num" w:pos="5019"/>
        </w:tabs>
        <w:ind w:left="5019" w:hanging="720"/>
      </w:pPr>
      <w:rPr>
        <w:rFonts w:hint="default"/>
      </w:rPr>
    </w:lvl>
    <w:lvl w:ilvl="4">
      <w:start w:val="1"/>
      <w:numFmt w:val="decimal"/>
      <w:lvlText w:val="%1.%2.%3.%4.%5."/>
      <w:lvlJc w:val="left"/>
      <w:pPr>
        <w:tabs>
          <w:tab w:val="num" w:pos="6812"/>
        </w:tabs>
        <w:ind w:left="6812" w:hanging="1080"/>
      </w:pPr>
      <w:rPr>
        <w:rFonts w:hint="default"/>
      </w:rPr>
    </w:lvl>
    <w:lvl w:ilvl="5">
      <w:start w:val="1"/>
      <w:numFmt w:val="decimal"/>
      <w:lvlText w:val="%1.%2.%3.%4.%5.%6."/>
      <w:lvlJc w:val="left"/>
      <w:pPr>
        <w:tabs>
          <w:tab w:val="num" w:pos="8245"/>
        </w:tabs>
        <w:ind w:left="8245" w:hanging="1080"/>
      </w:pPr>
      <w:rPr>
        <w:rFonts w:hint="default"/>
      </w:rPr>
    </w:lvl>
    <w:lvl w:ilvl="6">
      <w:start w:val="1"/>
      <w:numFmt w:val="decimal"/>
      <w:lvlText w:val="%1.%2.%3.%4.%5.%6.%7."/>
      <w:lvlJc w:val="left"/>
      <w:pPr>
        <w:tabs>
          <w:tab w:val="num" w:pos="10038"/>
        </w:tabs>
        <w:ind w:left="10038" w:hanging="1440"/>
      </w:pPr>
      <w:rPr>
        <w:rFonts w:hint="default"/>
      </w:rPr>
    </w:lvl>
    <w:lvl w:ilvl="7">
      <w:start w:val="1"/>
      <w:numFmt w:val="decimal"/>
      <w:lvlText w:val="%1.%2.%3.%4.%5.%6.%7.%8."/>
      <w:lvlJc w:val="left"/>
      <w:pPr>
        <w:tabs>
          <w:tab w:val="num" w:pos="11471"/>
        </w:tabs>
        <w:ind w:left="11471" w:hanging="1440"/>
      </w:pPr>
      <w:rPr>
        <w:rFonts w:hint="default"/>
      </w:rPr>
    </w:lvl>
    <w:lvl w:ilvl="8">
      <w:start w:val="1"/>
      <w:numFmt w:val="decimal"/>
      <w:lvlText w:val="%1.%2.%3.%4.%5.%6.%7.%8.%9."/>
      <w:lvlJc w:val="left"/>
      <w:pPr>
        <w:tabs>
          <w:tab w:val="num" w:pos="13264"/>
        </w:tabs>
        <w:ind w:left="13264" w:hanging="1800"/>
      </w:pPr>
      <w:rPr>
        <w:rFonts w:hint="default"/>
      </w:rPr>
    </w:lvl>
  </w:abstractNum>
  <w:abstractNum w:abstractNumId="1">
    <w:nsid w:val="03CD0071"/>
    <w:multiLevelType w:val="hybridMultilevel"/>
    <w:tmpl w:val="B4F829E6"/>
    <w:lvl w:ilvl="0" w:tplc="CEF05862">
      <w:start w:val="1"/>
      <w:numFmt w:val="decimal"/>
      <w:lvlText w:val="[%1]"/>
      <w:lvlJc w:val="left"/>
      <w:pPr>
        <w:ind w:left="360" w:hanging="360"/>
      </w:pPr>
      <w:rPr>
        <w:rFonts w:hint="default"/>
      </w:rPr>
    </w:lvl>
    <w:lvl w:ilvl="1" w:tplc="DF2AEE94">
      <w:start w:val="1"/>
      <w:numFmt w:val="decimal"/>
      <w:lvlText w:val="%2."/>
      <w:lvlJc w:val="left"/>
      <w:pPr>
        <w:ind w:left="1440" w:hanging="72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4BD666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0C4D07AC"/>
    <w:multiLevelType w:val="hybridMultilevel"/>
    <w:tmpl w:val="F5EAAD5C"/>
    <w:lvl w:ilvl="0" w:tplc="410CF6B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E05082D"/>
    <w:multiLevelType w:val="multilevel"/>
    <w:tmpl w:val="95EE5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244D99"/>
    <w:multiLevelType w:val="hybridMultilevel"/>
    <w:tmpl w:val="B4F829E6"/>
    <w:lvl w:ilvl="0" w:tplc="CEF05862">
      <w:start w:val="1"/>
      <w:numFmt w:val="decimal"/>
      <w:lvlText w:val="[%1]"/>
      <w:lvlJc w:val="left"/>
      <w:pPr>
        <w:ind w:left="360" w:hanging="360"/>
      </w:pPr>
      <w:rPr>
        <w:rFonts w:hint="default"/>
      </w:rPr>
    </w:lvl>
    <w:lvl w:ilvl="1" w:tplc="DF2AEE94">
      <w:start w:val="1"/>
      <w:numFmt w:val="decimal"/>
      <w:lvlText w:val="%2."/>
      <w:lvlJc w:val="left"/>
      <w:pPr>
        <w:ind w:left="1440" w:hanging="72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1E097357"/>
    <w:multiLevelType w:val="hybridMultilevel"/>
    <w:tmpl w:val="087847E8"/>
    <w:lvl w:ilvl="0" w:tplc="04090001">
      <w:start w:val="1"/>
      <w:numFmt w:val="bullet"/>
      <w:lvlText w:val=""/>
      <w:lvlJc w:val="left"/>
      <w:pPr>
        <w:tabs>
          <w:tab w:val="num" w:pos="720"/>
        </w:tabs>
        <w:ind w:left="720" w:hanging="360"/>
      </w:pPr>
      <w:rPr>
        <w:rFonts w:ascii="Symbol" w:hAnsi="Symbol" w:cs="Symbol" w:hint="default"/>
      </w:rPr>
    </w:lvl>
    <w:lvl w:ilvl="1" w:tplc="1E949502">
      <w:start w:val="1"/>
      <w:numFmt w:val="bullet"/>
      <w:lvlText w:val=""/>
      <w:lvlJc w:val="left"/>
      <w:pPr>
        <w:tabs>
          <w:tab w:val="num" w:pos="1440"/>
        </w:tabs>
        <w:ind w:left="1440" w:hanging="360"/>
      </w:pPr>
      <w:rPr>
        <w:rFonts w:ascii="Wingdings" w:hAnsi="Wingdings" w:cs="Wingdings"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6FC1197"/>
    <w:multiLevelType w:val="hybridMultilevel"/>
    <w:tmpl w:val="77AC81D8"/>
    <w:lvl w:ilvl="0" w:tplc="B5203324">
      <w:start w:val="759"/>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27B17CA"/>
    <w:multiLevelType w:val="hybridMultilevel"/>
    <w:tmpl w:val="4F6AEF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47B72F8"/>
    <w:multiLevelType w:val="hybridMultilevel"/>
    <w:tmpl w:val="7436D0F2"/>
    <w:lvl w:ilvl="0" w:tplc="B3AA0684">
      <w:start w:val="776"/>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6212FAB"/>
    <w:multiLevelType w:val="hybridMultilevel"/>
    <w:tmpl w:val="D84C7F5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nsid w:val="47C17BAB"/>
    <w:multiLevelType w:val="multilevel"/>
    <w:tmpl w:val="2C8C742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F924808"/>
    <w:multiLevelType w:val="hybridMultilevel"/>
    <w:tmpl w:val="1DE2EA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16A0BD4"/>
    <w:multiLevelType w:val="hybridMultilevel"/>
    <w:tmpl w:val="EC761C5C"/>
    <w:lvl w:ilvl="0" w:tplc="CEF0586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5084DF7"/>
    <w:multiLevelType w:val="multilevel"/>
    <w:tmpl w:val="6AC2ED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82F447B"/>
    <w:multiLevelType w:val="multilevel"/>
    <w:tmpl w:val="EA5ED04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8347F5D"/>
    <w:multiLevelType w:val="hybridMultilevel"/>
    <w:tmpl w:val="F3185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2F7693F"/>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63F5010E"/>
    <w:multiLevelType w:val="hybridMultilevel"/>
    <w:tmpl w:val="632037CE"/>
    <w:lvl w:ilvl="0" w:tplc="22A6A870">
      <w:start w:val="87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6D937E2C"/>
    <w:multiLevelType w:val="hybridMultilevel"/>
    <w:tmpl w:val="892CC9DC"/>
    <w:lvl w:ilvl="0" w:tplc="22DE19E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712E4C2E"/>
    <w:multiLevelType w:val="multilevel"/>
    <w:tmpl w:val="52924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18"/>
  </w:num>
  <w:num w:numId="4">
    <w:abstractNumId w:val="8"/>
  </w:num>
  <w:num w:numId="5">
    <w:abstractNumId w:val="10"/>
  </w:num>
  <w:num w:numId="6">
    <w:abstractNumId w:val="17"/>
  </w:num>
  <w:num w:numId="7">
    <w:abstractNumId w:val="2"/>
  </w:num>
  <w:num w:numId="8">
    <w:abstractNumId w:val="6"/>
  </w:num>
  <w:num w:numId="9">
    <w:abstractNumId w:val="15"/>
  </w:num>
  <w:num w:numId="10">
    <w:abstractNumId w:val="11"/>
  </w:num>
  <w:num w:numId="11">
    <w:abstractNumId w:val="14"/>
  </w:num>
  <w:num w:numId="12">
    <w:abstractNumId w:val="0"/>
  </w:num>
  <w:num w:numId="13">
    <w:abstractNumId w:val="20"/>
  </w:num>
  <w:num w:numId="14">
    <w:abstractNumId w:val="4"/>
  </w:num>
  <w:num w:numId="15">
    <w:abstractNumId w:val="16"/>
  </w:num>
  <w:num w:numId="16">
    <w:abstractNumId w:val="5"/>
  </w:num>
  <w:num w:numId="17">
    <w:abstractNumId w:val="19"/>
  </w:num>
  <w:num w:numId="18">
    <w:abstractNumId w:val="3"/>
  </w:num>
  <w:num w:numId="19">
    <w:abstractNumId w:val="12"/>
  </w:num>
  <w:num w:numId="20">
    <w:abstractNumId w:val="1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doNotHyphenateCaps/>
  <w:evenAndOddHeaders/>
  <w:characterSpacingControl w:val="doNotCompress"/>
  <w:hdrShapeDefaults>
    <o:shapedefaults v:ext="edit" spidmax="29698"/>
  </w:hdrShapeDefaults>
  <w:footnotePr>
    <w:footnote w:id="-1"/>
    <w:footnote w:id="0"/>
  </w:footnotePr>
  <w:endnotePr>
    <w:endnote w:id="-1"/>
    <w:endnote w:id="0"/>
  </w:endnotePr>
  <w:compat/>
  <w:rsids>
    <w:rsidRoot w:val="00E708F2"/>
    <w:rsid w:val="00000157"/>
    <w:rsid w:val="00007028"/>
    <w:rsid w:val="00021AFE"/>
    <w:rsid w:val="00022E6A"/>
    <w:rsid w:val="00036595"/>
    <w:rsid w:val="0003677E"/>
    <w:rsid w:val="00052110"/>
    <w:rsid w:val="00055DF7"/>
    <w:rsid w:val="00056B42"/>
    <w:rsid w:val="000632EE"/>
    <w:rsid w:val="00071AAD"/>
    <w:rsid w:val="00077CF1"/>
    <w:rsid w:val="00097B78"/>
    <w:rsid w:val="000A0786"/>
    <w:rsid w:val="000A16FB"/>
    <w:rsid w:val="000C079B"/>
    <w:rsid w:val="000E5B33"/>
    <w:rsid w:val="000F74E5"/>
    <w:rsid w:val="00112CA8"/>
    <w:rsid w:val="00117960"/>
    <w:rsid w:val="00163402"/>
    <w:rsid w:val="001640AC"/>
    <w:rsid w:val="001760F5"/>
    <w:rsid w:val="00196D21"/>
    <w:rsid w:val="001C29F5"/>
    <w:rsid w:val="001C3835"/>
    <w:rsid w:val="001D08B6"/>
    <w:rsid w:val="001D587B"/>
    <w:rsid w:val="001D77EC"/>
    <w:rsid w:val="001F00E6"/>
    <w:rsid w:val="002200DD"/>
    <w:rsid w:val="002321EE"/>
    <w:rsid w:val="00242D90"/>
    <w:rsid w:val="00264C0B"/>
    <w:rsid w:val="002666F3"/>
    <w:rsid w:val="0028304A"/>
    <w:rsid w:val="0028530B"/>
    <w:rsid w:val="002B1828"/>
    <w:rsid w:val="002E1F00"/>
    <w:rsid w:val="002E3D6A"/>
    <w:rsid w:val="002E6A86"/>
    <w:rsid w:val="002F0425"/>
    <w:rsid w:val="00301CC1"/>
    <w:rsid w:val="00302459"/>
    <w:rsid w:val="00305EE6"/>
    <w:rsid w:val="0031613B"/>
    <w:rsid w:val="00337074"/>
    <w:rsid w:val="00352FC9"/>
    <w:rsid w:val="00353105"/>
    <w:rsid w:val="00356F12"/>
    <w:rsid w:val="00357B56"/>
    <w:rsid w:val="00363104"/>
    <w:rsid w:val="003658DE"/>
    <w:rsid w:val="003A1C86"/>
    <w:rsid w:val="003B704F"/>
    <w:rsid w:val="003D1D07"/>
    <w:rsid w:val="00407164"/>
    <w:rsid w:val="0041497A"/>
    <w:rsid w:val="00417288"/>
    <w:rsid w:val="00426F53"/>
    <w:rsid w:val="00427BD9"/>
    <w:rsid w:val="004403F8"/>
    <w:rsid w:val="00446EE9"/>
    <w:rsid w:val="00452B8F"/>
    <w:rsid w:val="00486896"/>
    <w:rsid w:val="00487E0F"/>
    <w:rsid w:val="004916D0"/>
    <w:rsid w:val="00492C95"/>
    <w:rsid w:val="004A1772"/>
    <w:rsid w:val="004A4890"/>
    <w:rsid w:val="004C0665"/>
    <w:rsid w:val="004D7012"/>
    <w:rsid w:val="004E6DC3"/>
    <w:rsid w:val="004F3BD5"/>
    <w:rsid w:val="0050479B"/>
    <w:rsid w:val="00516EAB"/>
    <w:rsid w:val="00524AB5"/>
    <w:rsid w:val="005273B2"/>
    <w:rsid w:val="005306BA"/>
    <w:rsid w:val="00530A01"/>
    <w:rsid w:val="0055258F"/>
    <w:rsid w:val="00552F7B"/>
    <w:rsid w:val="005A3039"/>
    <w:rsid w:val="005D26A0"/>
    <w:rsid w:val="005D4E26"/>
    <w:rsid w:val="005E5220"/>
    <w:rsid w:val="005F573D"/>
    <w:rsid w:val="005F7970"/>
    <w:rsid w:val="005F7F1A"/>
    <w:rsid w:val="00623455"/>
    <w:rsid w:val="00625F1D"/>
    <w:rsid w:val="0064088C"/>
    <w:rsid w:val="006410AE"/>
    <w:rsid w:val="0064454F"/>
    <w:rsid w:val="00645CCE"/>
    <w:rsid w:val="00645F2D"/>
    <w:rsid w:val="00647D48"/>
    <w:rsid w:val="00656381"/>
    <w:rsid w:val="00664F69"/>
    <w:rsid w:val="00687539"/>
    <w:rsid w:val="00687A01"/>
    <w:rsid w:val="00696F04"/>
    <w:rsid w:val="006A4142"/>
    <w:rsid w:val="006C0348"/>
    <w:rsid w:val="006C2181"/>
    <w:rsid w:val="006D6858"/>
    <w:rsid w:val="006E4B7D"/>
    <w:rsid w:val="006F03ED"/>
    <w:rsid w:val="006F2925"/>
    <w:rsid w:val="006F4178"/>
    <w:rsid w:val="00701692"/>
    <w:rsid w:val="007066CC"/>
    <w:rsid w:val="007127EA"/>
    <w:rsid w:val="007135D8"/>
    <w:rsid w:val="007150F2"/>
    <w:rsid w:val="00716344"/>
    <w:rsid w:val="007230AA"/>
    <w:rsid w:val="00725FB1"/>
    <w:rsid w:val="00744DDA"/>
    <w:rsid w:val="007628AB"/>
    <w:rsid w:val="007636AE"/>
    <w:rsid w:val="0076669B"/>
    <w:rsid w:val="00784B42"/>
    <w:rsid w:val="00791B6F"/>
    <w:rsid w:val="007937F9"/>
    <w:rsid w:val="00795EE5"/>
    <w:rsid w:val="00797939"/>
    <w:rsid w:val="007A7E4C"/>
    <w:rsid w:val="007B0937"/>
    <w:rsid w:val="007B5F8A"/>
    <w:rsid w:val="007C4B15"/>
    <w:rsid w:val="007E350D"/>
    <w:rsid w:val="008012E2"/>
    <w:rsid w:val="00807EC2"/>
    <w:rsid w:val="00816306"/>
    <w:rsid w:val="00826428"/>
    <w:rsid w:val="00826C86"/>
    <w:rsid w:val="008274E3"/>
    <w:rsid w:val="00840977"/>
    <w:rsid w:val="008460EB"/>
    <w:rsid w:val="00852B3E"/>
    <w:rsid w:val="00867DCF"/>
    <w:rsid w:val="00873B0C"/>
    <w:rsid w:val="00890058"/>
    <w:rsid w:val="008A4ED0"/>
    <w:rsid w:val="008D1906"/>
    <w:rsid w:val="008D46EB"/>
    <w:rsid w:val="008E330C"/>
    <w:rsid w:val="008E51AD"/>
    <w:rsid w:val="008E752A"/>
    <w:rsid w:val="008F2F9E"/>
    <w:rsid w:val="008F3905"/>
    <w:rsid w:val="008F497D"/>
    <w:rsid w:val="009157D3"/>
    <w:rsid w:val="0092656E"/>
    <w:rsid w:val="00931F0D"/>
    <w:rsid w:val="009353C3"/>
    <w:rsid w:val="00953E14"/>
    <w:rsid w:val="00960481"/>
    <w:rsid w:val="00962003"/>
    <w:rsid w:val="00962F25"/>
    <w:rsid w:val="00974B50"/>
    <w:rsid w:val="009A0017"/>
    <w:rsid w:val="009A56F8"/>
    <w:rsid w:val="009D57DA"/>
    <w:rsid w:val="009F2BC1"/>
    <w:rsid w:val="00A04E1E"/>
    <w:rsid w:val="00A06222"/>
    <w:rsid w:val="00A114A2"/>
    <w:rsid w:val="00A11AD8"/>
    <w:rsid w:val="00A145F7"/>
    <w:rsid w:val="00A2368E"/>
    <w:rsid w:val="00A249DE"/>
    <w:rsid w:val="00A46397"/>
    <w:rsid w:val="00A52CE0"/>
    <w:rsid w:val="00A551A4"/>
    <w:rsid w:val="00A706F8"/>
    <w:rsid w:val="00A93D96"/>
    <w:rsid w:val="00AA0D36"/>
    <w:rsid w:val="00AA113E"/>
    <w:rsid w:val="00AA28DF"/>
    <w:rsid w:val="00AA4CFF"/>
    <w:rsid w:val="00AB5C9E"/>
    <w:rsid w:val="00AB7296"/>
    <w:rsid w:val="00AB7EFD"/>
    <w:rsid w:val="00AC057A"/>
    <w:rsid w:val="00B13B9F"/>
    <w:rsid w:val="00B1752C"/>
    <w:rsid w:val="00B1759E"/>
    <w:rsid w:val="00B21B86"/>
    <w:rsid w:val="00B262F3"/>
    <w:rsid w:val="00B44F29"/>
    <w:rsid w:val="00B55E32"/>
    <w:rsid w:val="00B73F51"/>
    <w:rsid w:val="00B816C1"/>
    <w:rsid w:val="00BD1B60"/>
    <w:rsid w:val="00BD251D"/>
    <w:rsid w:val="00BD7DCE"/>
    <w:rsid w:val="00BE5310"/>
    <w:rsid w:val="00C157B9"/>
    <w:rsid w:val="00C344A2"/>
    <w:rsid w:val="00C41F06"/>
    <w:rsid w:val="00C46F7E"/>
    <w:rsid w:val="00C57448"/>
    <w:rsid w:val="00C60225"/>
    <w:rsid w:val="00C81192"/>
    <w:rsid w:val="00C956C2"/>
    <w:rsid w:val="00CB10D9"/>
    <w:rsid w:val="00CD6D85"/>
    <w:rsid w:val="00CE0B3B"/>
    <w:rsid w:val="00CE6038"/>
    <w:rsid w:val="00CE68E4"/>
    <w:rsid w:val="00CF569B"/>
    <w:rsid w:val="00CF6B04"/>
    <w:rsid w:val="00D00D3A"/>
    <w:rsid w:val="00D06D1E"/>
    <w:rsid w:val="00D06F5F"/>
    <w:rsid w:val="00D13C6B"/>
    <w:rsid w:val="00D1488A"/>
    <w:rsid w:val="00D43CAC"/>
    <w:rsid w:val="00D477AC"/>
    <w:rsid w:val="00D50950"/>
    <w:rsid w:val="00D5211A"/>
    <w:rsid w:val="00D65D03"/>
    <w:rsid w:val="00D65E8F"/>
    <w:rsid w:val="00D96FFA"/>
    <w:rsid w:val="00DA14AF"/>
    <w:rsid w:val="00DB14B3"/>
    <w:rsid w:val="00DB19D9"/>
    <w:rsid w:val="00DB3F36"/>
    <w:rsid w:val="00DB6ECE"/>
    <w:rsid w:val="00DB70F1"/>
    <w:rsid w:val="00DC1C9B"/>
    <w:rsid w:val="00DC24E0"/>
    <w:rsid w:val="00DC6F55"/>
    <w:rsid w:val="00DD3FF3"/>
    <w:rsid w:val="00DE6945"/>
    <w:rsid w:val="00DF26B3"/>
    <w:rsid w:val="00E1214E"/>
    <w:rsid w:val="00E21609"/>
    <w:rsid w:val="00E239E7"/>
    <w:rsid w:val="00E25F10"/>
    <w:rsid w:val="00E40730"/>
    <w:rsid w:val="00E63216"/>
    <w:rsid w:val="00E708F2"/>
    <w:rsid w:val="00E754F2"/>
    <w:rsid w:val="00EA1A1C"/>
    <w:rsid w:val="00EA542A"/>
    <w:rsid w:val="00EC7BD9"/>
    <w:rsid w:val="00ED3ECF"/>
    <w:rsid w:val="00EF4F2C"/>
    <w:rsid w:val="00F01624"/>
    <w:rsid w:val="00F0235E"/>
    <w:rsid w:val="00F036F0"/>
    <w:rsid w:val="00F0561F"/>
    <w:rsid w:val="00F13D96"/>
    <w:rsid w:val="00F22601"/>
    <w:rsid w:val="00F236FE"/>
    <w:rsid w:val="00F31AA0"/>
    <w:rsid w:val="00F4100C"/>
    <w:rsid w:val="00F509AC"/>
    <w:rsid w:val="00F9149B"/>
    <w:rsid w:val="00FB4D60"/>
    <w:rsid w:val="00FE21BE"/>
    <w:rsid w:val="00FE2F8C"/>
    <w:rsid w:val="00FE7BC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EE6"/>
    <w:rPr>
      <w:sz w:val="24"/>
      <w:szCs w:val="24"/>
      <w:lang w:val="en-US" w:eastAsia="en-US"/>
    </w:rPr>
  </w:style>
  <w:style w:type="paragraph" w:styleId="Naslov1">
    <w:name w:val="heading 1"/>
    <w:basedOn w:val="Normal"/>
    <w:next w:val="Normal"/>
    <w:qFormat/>
    <w:rsid w:val="00305EE6"/>
    <w:pPr>
      <w:keepNext/>
      <w:jc w:val="center"/>
      <w:outlineLvl w:val="0"/>
    </w:pPr>
    <w:rPr>
      <w:b/>
      <w:bCs/>
      <w:lang w:val="en-GB"/>
    </w:rPr>
  </w:style>
  <w:style w:type="paragraph" w:styleId="Naslov2">
    <w:name w:val="heading 2"/>
    <w:basedOn w:val="Normal"/>
    <w:next w:val="Normal"/>
    <w:qFormat/>
    <w:rsid w:val="00305EE6"/>
    <w:pPr>
      <w:keepNext/>
      <w:outlineLvl w:val="1"/>
    </w:pPr>
    <w:rPr>
      <w:b/>
      <w:bCs/>
      <w:lang w:val="en-GB"/>
    </w:rPr>
  </w:style>
  <w:style w:type="paragraph" w:styleId="Naslov3">
    <w:name w:val="heading 3"/>
    <w:basedOn w:val="Normal"/>
    <w:next w:val="Normal"/>
    <w:qFormat/>
    <w:rsid w:val="00305EE6"/>
    <w:pPr>
      <w:keepNext/>
      <w:spacing w:before="240"/>
      <w:outlineLvl w:val="2"/>
    </w:pPr>
    <w:rPr>
      <w:rFonts w:cs="Arial"/>
      <w:b/>
      <w:bCs/>
      <w:szCs w:val="26"/>
    </w:rPr>
  </w:style>
  <w:style w:type="paragraph" w:styleId="Naslov4">
    <w:name w:val="heading 4"/>
    <w:basedOn w:val="Normal"/>
    <w:next w:val="Normal"/>
    <w:qFormat/>
    <w:rsid w:val="00353105"/>
    <w:pPr>
      <w:keepNext/>
      <w:spacing w:before="240" w:after="60"/>
      <w:outlineLvl w:val="3"/>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uiPriority w:val="99"/>
    <w:semiHidden/>
    <w:rsid w:val="00305EE6"/>
    <w:rPr>
      <w:vertAlign w:val="superscript"/>
    </w:rPr>
  </w:style>
  <w:style w:type="character" w:styleId="Hiperveza">
    <w:name w:val="Hyperlink"/>
    <w:rsid w:val="00305EE6"/>
    <w:rPr>
      <w:color w:val="0000FF"/>
      <w:u w:val="single"/>
    </w:rPr>
  </w:style>
  <w:style w:type="paragraph" w:styleId="Tekstfusnote">
    <w:name w:val="footnote text"/>
    <w:basedOn w:val="Normal"/>
    <w:link w:val="TekstfusnoteChar"/>
    <w:uiPriority w:val="99"/>
    <w:rsid w:val="00305EE6"/>
    <w:rPr>
      <w:sz w:val="20"/>
      <w:szCs w:val="20"/>
    </w:rPr>
  </w:style>
  <w:style w:type="character" w:styleId="Brojstranice">
    <w:name w:val="page number"/>
    <w:basedOn w:val="Zadanifontodlomka"/>
    <w:rsid w:val="00305EE6"/>
  </w:style>
  <w:style w:type="paragraph" w:styleId="Podnoje">
    <w:name w:val="footer"/>
    <w:basedOn w:val="Normal"/>
    <w:rsid w:val="00305EE6"/>
    <w:pPr>
      <w:tabs>
        <w:tab w:val="center" w:pos="4536"/>
        <w:tab w:val="right" w:pos="9072"/>
      </w:tabs>
    </w:pPr>
  </w:style>
  <w:style w:type="paragraph" w:styleId="Tijeloteksta">
    <w:name w:val="Body Text"/>
    <w:basedOn w:val="Normal"/>
    <w:rsid w:val="00305EE6"/>
    <w:pPr>
      <w:jc w:val="center"/>
    </w:pPr>
    <w:rPr>
      <w:b/>
      <w:sz w:val="28"/>
      <w:lang w:val="en-GB"/>
    </w:rPr>
  </w:style>
  <w:style w:type="paragraph" w:styleId="Zaglavlje">
    <w:name w:val="header"/>
    <w:basedOn w:val="Normal"/>
    <w:link w:val="ZaglavljeChar"/>
    <w:uiPriority w:val="99"/>
    <w:rsid w:val="00305EE6"/>
    <w:pPr>
      <w:tabs>
        <w:tab w:val="center" w:pos="4536"/>
        <w:tab w:val="right" w:pos="9072"/>
      </w:tabs>
    </w:pPr>
  </w:style>
  <w:style w:type="paragraph" w:styleId="Uvuenotijeloteksta">
    <w:name w:val="Body Text Indent"/>
    <w:basedOn w:val="Normal"/>
    <w:rsid w:val="00305EE6"/>
    <w:pPr>
      <w:ind w:left="540" w:hanging="540"/>
    </w:pPr>
    <w:rPr>
      <w:lang w:val="en-GB"/>
    </w:rPr>
  </w:style>
  <w:style w:type="character" w:styleId="SlijeenaHiperveza">
    <w:name w:val="FollowedHyperlink"/>
    <w:rsid w:val="00305EE6"/>
    <w:rPr>
      <w:color w:val="800080"/>
      <w:u w:val="single"/>
    </w:rPr>
  </w:style>
  <w:style w:type="character" w:styleId="Istaknuto">
    <w:name w:val="Emphasis"/>
    <w:uiPriority w:val="20"/>
    <w:qFormat/>
    <w:rsid w:val="00353105"/>
    <w:rPr>
      <w:i/>
      <w:iCs/>
    </w:rPr>
  </w:style>
  <w:style w:type="character" w:customStyle="1" w:styleId="ZaglavljeChar">
    <w:name w:val="Zaglavlje Char"/>
    <w:link w:val="Zaglavlje"/>
    <w:uiPriority w:val="99"/>
    <w:rsid w:val="006F03ED"/>
    <w:rPr>
      <w:sz w:val="24"/>
      <w:szCs w:val="24"/>
      <w:lang w:val="en-US" w:eastAsia="en-US"/>
    </w:rPr>
  </w:style>
  <w:style w:type="paragraph" w:styleId="Tekstbalonia">
    <w:name w:val="Balloon Text"/>
    <w:basedOn w:val="Normal"/>
    <w:link w:val="TekstbaloniaChar"/>
    <w:rsid w:val="006F03ED"/>
    <w:rPr>
      <w:rFonts w:ascii="Tahoma" w:hAnsi="Tahoma" w:cs="Tahoma"/>
      <w:sz w:val="16"/>
      <w:szCs w:val="16"/>
    </w:rPr>
  </w:style>
  <w:style w:type="character" w:customStyle="1" w:styleId="TekstbaloniaChar">
    <w:name w:val="Tekst balončića Char"/>
    <w:link w:val="Tekstbalonia"/>
    <w:rsid w:val="006F03ED"/>
    <w:rPr>
      <w:rFonts w:ascii="Tahoma" w:hAnsi="Tahoma" w:cs="Tahoma"/>
      <w:sz w:val="16"/>
      <w:szCs w:val="16"/>
      <w:lang w:val="en-US" w:eastAsia="en-US"/>
    </w:rPr>
  </w:style>
  <w:style w:type="table" w:styleId="Reetkatablice">
    <w:name w:val="Table Grid"/>
    <w:basedOn w:val="Obinatablica"/>
    <w:rsid w:val="00414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rsid w:val="001C3835"/>
  </w:style>
  <w:style w:type="paragraph" w:styleId="Odlomakpopisa">
    <w:name w:val="List Paragraph"/>
    <w:basedOn w:val="Normal"/>
    <w:uiPriority w:val="34"/>
    <w:qFormat/>
    <w:rsid w:val="0076669B"/>
    <w:pPr>
      <w:ind w:left="708"/>
    </w:pPr>
  </w:style>
  <w:style w:type="character" w:styleId="Naglaeno">
    <w:name w:val="Strong"/>
    <w:uiPriority w:val="22"/>
    <w:qFormat/>
    <w:rsid w:val="005D26A0"/>
    <w:rPr>
      <w:b/>
      <w:bCs/>
    </w:rPr>
  </w:style>
  <w:style w:type="character" w:customStyle="1" w:styleId="TekstfusnoteChar">
    <w:name w:val="Tekst fusnote Char"/>
    <w:basedOn w:val="Zadanifontodlomka"/>
    <w:link w:val="Tekstfusnote"/>
    <w:uiPriority w:val="99"/>
    <w:rsid w:val="00867DCF"/>
    <w:rPr>
      <w:lang w:val="en-US" w:eastAsia="en-US"/>
    </w:rPr>
  </w:style>
  <w:style w:type="paragraph" w:customStyle="1" w:styleId="MTDisplayEquation">
    <w:name w:val="MTDisplayEquation"/>
    <w:basedOn w:val="Normal"/>
    <w:next w:val="Normal"/>
    <w:link w:val="MTDisplayEquationChar"/>
    <w:rsid w:val="0003677E"/>
    <w:pPr>
      <w:tabs>
        <w:tab w:val="center" w:pos="4540"/>
        <w:tab w:val="right" w:pos="9080"/>
      </w:tabs>
      <w:autoSpaceDE w:val="0"/>
      <w:autoSpaceDN w:val="0"/>
      <w:adjustRightInd w:val="0"/>
      <w:jc w:val="both"/>
    </w:pPr>
    <w:rPr>
      <w:lang w:eastAsia="hr-HR"/>
    </w:rPr>
  </w:style>
  <w:style w:type="character" w:customStyle="1" w:styleId="MTDisplayEquationChar">
    <w:name w:val="MTDisplayEquation Char"/>
    <w:basedOn w:val="Zadanifontodlomka"/>
    <w:link w:val="MTDisplayEquation"/>
    <w:rsid w:val="0003677E"/>
    <w:rPr>
      <w:sz w:val="24"/>
      <w:szCs w:val="24"/>
      <w:lang w:val="en-US"/>
    </w:rPr>
  </w:style>
  <w:style w:type="paragraph" w:customStyle="1" w:styleId="SORtekst">
    <w:name w:val="SOR_tekst"/>
    <w:basedOn w:val="Normal"/>
    <w:rsid w:val="00E21609"/>
    <w:pPr>
      <w:jc w:val="both"/>
    </w:pPr>
    <w:rPr>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EE6"/>
    <w:rPr>
      <w:sz w:val="24"/>
      <w:szCs w:val="24"/>
      <w:lang w:val="en-US" w:eastAsia="en-US"/>
    </w:rPr>
  </w:style>
  <w:style w:type="paragraph" w:styleId="Heading1">
    <w:name w:val="heading 1"/>
    <w:basedOn w:val="Normal"/>
    <w:next w:val="Normal"/>
    <w:qFormat/>
    <w:rsid w:val="00305EE6"/>
    <w:pPr>
      <w:keepNext/>
      <w:jc w:val="center"/>
      <w:outlineLvl w:val="0"/>
    </w:pPr>
    <w:rPr>
      <w:b/>
      <w:bCs/>
      <w:lang w:val="en-GB"/>
    </w:rPr>
  </w:style>
  <w:style w:type="paragraph" w:styleId="Heading2">
    <w:name w:val="heading 2"/>
    <w:basedOn w:val="Normal"/>
    <w:next w:val="Normal"/>
    <w:qFormat/>
    <w:rsid w:val="00305EE6"/>
    <w:pPr>
      <w:keepNext/>
      <w:outlineLvl w:val="1"/>
    </w:pPr>
    <w:rPr>
      <w:b/>
      <w:bCs/>
      <w:lang w:val="en-GB"/>
    </w:rPr>
  </w:style>
  <w:style w:type="paragraph" w:styleId="Heading3">
    <w:name w:val="heading 3"/>
    <w:basedOn w:val="Normal"/>
    <w:next w:val="Normal"/>
    <w:qFormat/>
    <w:rsid w:val="00305EE6"/>
    <w:pPr>
      <w:keepNext/>
      <w:spacing w:before="240"/>
      <w:outlineLvl w:val="2"/>
    </w:pPr>
    <w:rPr>
      <w:rFonts w:cs="Arial"/>
      <w:b/>
      <w:bCs/>
      <w:szCs w:val="26"/>
    </w:rPr>
  </w:style>
  <w:style w:type="paragraph" w:styleId="Heading4">
    <w:name w:val="heading 4"/>
    <w:basedOn w:val="Normal"/>
    <w:next w:val="Normal"/>
    <w:qFormat/>
    <w:rsid w:val="0035310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5EE6"/>
    <w:rPr>
      <w:vertAlign w:val="superscript"/>
    </w:rPr>
  </w:style>
  <w:style w:type="character" w:styleId="Hyperlink">
    <w:name w:val="Hyperlink"/>
    <w:rsid w:val="00305EE6"/>
    <w:rPr>
      <w:color w:val="0000FF"/>
      <w:u w:val="single"/>
    </w:rPr>
  </w:style>
  <w:style w:type="paragraph" w:styleId="FootnoteText">
    <w:name w:val="footnote text"/>
    <w:basedOn w:val="Normal"/>
    <w:semiHidden/>
    <w:rsid w:val="00305EE6"/>
    <w:rPr>
      <w:sz w:val="20"/>
      <w:szCs w:val="20"/>
    </w:rPr>
  </w:style>
  <w:style w:type="character" w:styleId="PageNumber">
    <w:name w:val="page number"/>
    <w:basedOn w:val="DefaultParagraphFont"/>
    <w:rsid w:val="00305EE6"/>
  </w:style>
  <w:style w:type="paragraph" w:styleId="Footer">
    <w:name w:val="footer"/>
    <w:basedOn w:val="Normal"/>
    <w:rsid w:val="00305EE6"/>
    <w:pPr>
      <w:tabs>
        <w:tab w:val="center" w:pos="4536"/>
        <w:tab w:val="right" w:pos="9072"/>
      </w:tabs>
    </w:pPr>
  </w:style>
  <w:style w:type="paragraph" w:styleId="BodyText">
    <w:name w:val="Body Text"/>
    <w:basedOn w:val="Normal"/>
    <w:rsid w:val="00305EE6"/>
    <w:pPr>
      <w:jc w:val="center"/>
    </w:pPr>
    <w:rPr>
      <w:b/>
      <w:sz w:val="28"/>
      <w:lang w:val="en-GB"/>
    </w:rPr>
  </w:style>
  <w:style w:type="paragraph" w:styleId="Header">
    <w:name w:val="header"/>
    <w:basedOn w:val="Normal"/>
    <w:link w:val="HeaderChar"/>
    <w:uiPriority w:val="99"/>
    <w:rsid w:val="00305EE6"/>
    <w:pPr>
      <w:tabs>
        <w:tab w:val="center" w:pos="4536"/>
        <w:tab w:val="right" w:pos="9072"/>
      </w:tabs>
    </w:pPr>
  </w:style>
  <w:style w:type="paragraph" w:styleId="BodyTextIndent">
    <w:name w:val="Body Text Indent"/>
    <w:basedOn w:val="Normal"/>
    <w:rsid w:val="00305EE6"/>
    <w:pPr>
      <w:ind w:left="540" w:hanging="540"/>
    </w:pPr>
    <w:rPr>
      <w:lang w:val="en-GB"/>
    </w:rPr>
  </w:style>
  <w:style w:type="character" w:styleId="FollowedHyperlink">
    <w:name w:val="FollowedHyperlink"/>
    <w:rsid w:val="00305EE6"/>
    <w:rPr>
      <w:color w:val="800080"/>
      <w:u w:val="single"/>
    </w:rPr>
  </w:style>
  <w:style w:type="character" w:styleId="Emphasis">
    <w:name w:val="Emphasis"/>
    <w:uiPriority w:val="20"/>
    <w:qFormat/>
    <w:rsid w:val="00353105"/>
    <w:rPr>
      <w:i/>
      <w:iCs/>
    </w:rPr>
  </w:style>
  <w:style w:type="character" w:customStyle="1" w:styleId="HeaderChar">
    <w:name w:val="Header Char"/>
    <w:link w:val="Header"/>
    <w:uiPriority w:val="99"/>
    <w:rsid w:val="006F03ED"/>
    <w:rPr>
      <w:sz w:val="24"/>
      <w:szCs w:val="24"/>
      <w:lang w:val="en-US" w:eastAsia="en-US"/>
    </w:rPr>
  </w:style>
  <w:style w:type="paragraph" w:styleId="BalloonText">
    <w:name w:val="Balloon Text"/>
    <w:basedOn w:val="Normal"/>
    <w:link w:val="BalloonTextChar"/>
    <w:rsid w:val="006F03ED"/>
    <w:rPr>
      <w:rFonts w:ascii="Tahoma" w:hAnsi="Tahoma" w:cs="Tahoma"/>
      <w:sz w:val="16"/>
      <w:szCs w:val="16"/>
    </w:rPr>
  </w:style>
  <w:style w:type="character" w:customStyle="1" w:styleId="BalloonTextChar">
    <w:name w:val="Balloon Text Char"/>
    <w:link w:val="BalloonText"/>
    <w:rsid w:val="006F03ED"/>
    <w:rPr>
      <w:rFonts w:ascii="Tahoma" w:hAnsi="Tahoma" w:cs="Tahoma"/>
      <w:sz w:val="16"/>
      <w:szCs w:val="16"/>
      <w:lang w:val="en-US" w:eastAsia="en-US"/>
    </w:rPr>
  </w:style>
  <w:style w:type="table" w:styleId="TableGrid">
    <w:name w:val="Table Grid"/>
    <w:basedOn w:val="TableNormal"/>
    <w:rsid w:val="00414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rsid w:val="001C3835"/>
  </w:style>
  <w:style w:type="paragraph" w:styleId="ListParagraph">
    <w:name w:val="List Paragraph"/>
    <w:basedOn w:val="Normal"/>
    <w:uiPriority w:val="34"/>
    <w:qFormat/>
    <w:rsid w:val="0076669B"/>
    <w:pPr>
      <w:ind w:left="708"/>
    </w:pPr>
  </w:style>
  <w:style w:type="character" w:styleId="Strong">
    <w:name w:val="Strong"/>
    <w:uiPriority w:val="22"/>
    <w:qFormat/>
    <w:rsid w:val="005D26A0"/>
    <w:rPr>
      <w:b/>
      <w:bCs/>
    </w:rPr>
  </w:style>
</w:styles>
</file>

<file path=word/webSettings.xml><?xml version="1.0" encoding="utf-8"?>
<w:webSettings xmlns:r="http://schemas.openxmlformats.org/officeDocument/2006/relationships" xmlns:w="http://schemas.openxmlformats.org/wordprocessingml/2006/main">
  <w:divs>
    <w:div w:id="996612827">
      <w:bodyDiv w:val="1"/>
      <w:marLeft w:val="0"/>
      <w:marRight w:val="0"/>
      <w:marTop w:val="0"/>
      <w:marBottom w:val="0"/>
      <w:divBdr>
        <w:top w:val="none" w:sz="0" w:space="0" w:color="auto"/>
        <w:left w:val="none" w:sz="0" w:space="0" w:color="auto"/>
        <w:bottom w:val="none" w:sz="0" w:space="0" w:color="auto"/>
        <w:right w:val="none" w:sz="0" w:space="0" w:color="auto"/>
      </w:divBdr>
    </w:div>
    <w:div w:id="12136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image" Target="media/image41.e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5.bin"/><Relationship Id="rId87"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7.wmf"/><Relationship Id="rId90" Type="http://schemas.openxmlformats.org/officeDocument/2006/relationships/image" Target="media/image42.emf"/><Relationship Id="rId95"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hyperlink" Target="mailto:tskrinjaric@efzg.hr" TargetMode="External"/><Relationship Id="rId51" Type="http://schemas.openxmlformats.org/officeDocument/2006/relationships/oleObject" Target="embeddings/oleObject21.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38.bin"/><Relationship Id="rId93" Type="http://schemas.openxmlformats.org/officeDocument/2006/relationships/header" Target="header3.xml"/><Relationship Id="rId98"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0.emf"/><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5.wmf"/><Relationship Id="rId81" Type="http://schemas.openxmlformats.org/officeDocument/2006/relationships/oleObject" Target="embeddings/oleObject36.bin"/><Relationship Id="rId86" Type="http://schemas.openxmlformats.org/officeDocument/2006/relationships/image" Target="media/image39.wmf"/><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ego@efzg.hr" TargetMode="Externa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BE6F4-9E12-469A-ABCB-6E846673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5975</TotalTime>
  <Pages>11</Pages>
  <Words>4710</Words>
  <Characters>26853</Characters>
  <Application>Microsoft Office Word</Application>
  <DocSecurity>0</DocSecurity>
  <Lines>223</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Prof</vt:lpstr>
      <vt:lpstr>Prof</vt:lpstr>
    </vt:vector>
  </TitlesOfParts>
  <Company>efst</Company>
  <LinksUpToDate>false</LinksUpToDate>
  <CharactersWithSpaces>31501</CharactersWithSpaces>
  <SharedDoc>false</SharedDoc>
  <HLinks>
    <vt:vector size="6" baseType="variant">
      <vt:variant>
        <vt:i4>3145847</vt:i4>
      </vt:variant>
      <vt:variant>
        <vt:i4>6</vt:i4>
      </vt:variant>
      <vt:variant>
        <vt:i4>0</vt:i4>
      </vt:variant>
      <vt:variant>
        <vt:i4>5</vt:i4>
      </vt:variant>
      <vt:variant>
        <vt:lpwstr>http://www.nber.org/cycles.html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djelatnik</dc:creator>
  <cp:lastModifiedBy>Tihana</cp:lastModifiedBy>
  <cp:revision>117</cp:revision>
  <cp:lastPrinted>2014-09-15T09:09:00Z</cp:lastPrinted>
  <dcterms:created xsi:type="dcterms:W3CDTF">2016-08-18T11:14:00Z</dcterms:created>
  <dcterms:modified xsi:type="dcterms:W3CDTF">2016-09-04T19:36:00Z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